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54EBB8E" w14:textId="438864A3" w:rsidR="0009620B" w:rsidRDefault="00D012BF" w:rsidP="00C97C68">
      <w:pPr>
        <w:pStyle w:val="MySection"/>
        <w:numPr>
          <w:ilvl w:val="0"/>
          <w:numId w:val="0"/>
        </w:numPr>
      </w:pPr>
      <w:bookmarkStart w:id="0" w:name="__RefHeading__51_1812707250"/>
      <w:bookmarkStart w:id="1" w:name="__RefHeading__59_1812707250"/>
      <w:bookmarkStart w:id="2" w:name="__RefHeading__61_1812707250"/>
      <w:bookmarkStart w:id="3" w:name="__RefHeading__63_1812707250"/>
      <w:bookmarkStart w:id="4" w:name="__RefHeading__65_1812707250"/>
      <w:bookmarkStart w:id="5" w:name="_Toc308949522"/>
      <w:bookmarkStart w:id="6" w:name="_GoBack"/>
      <w:bookmarkEnd w:id="6"/>
      <w:r>
        <w:t xml:space="preserve">Evaluer la formulation </w:t>
      </w:r>
      <w:r w:rsidR="00D47A9B">
        <w:t>d’une liste</w:t>
      </w:r>
      <w:r>
        <w:t xml:space="preserve"> </w:t>
      </w:r>
      <w:r w:rsidR="00D47A9B">
        <w:t>d’</w:t>
      </w:r>
      <w:r>
        <w:t>acquis d’apprentissage</w:t>
      </w:r>
      <w:bookmarkStart w:id="7" w:name="_Toc383357399"/>
      <w:bookmarkEnd w:id="7"/>
      <w:r w:rsidR="00C97C68">
        <w:t xml:space="preserve"> visé</w:t>
      </w:r>
      <w:r w:rsidR="00D47A9B">
        <w:t>s</w:t>
      </w:r>
      <w:r w:rsidR="00C97C68">
        <w:t xml:space="preserve"> par un dispositif d’apprentissage</w:t>
      </w:r>
    </w:p>
    <w:p w14:paraId="14D44C69" w14:textId="3E4ED194" w:rsidR="00360F5E" w:rsidRDefault="00360F5E" w:rsidP="00C97C68">
      <w:pPr>
        <w:pStyle w:val="MyParagr-n2"/>
        <w:ind w:left="0"/>
      </w:pPr>
      <w:r>
        <w:t xml:space="preserve">Un </w:t>
      </w:r>
      <w:r w:rsidRPr="00360F5E">
        <w:rPr>
          <w:b/>
        </w:rPr>
        <w:t>acquis d’apprentissage visé</w:t>
      </w:r>
      <w:r>
        <w:t xml:space="preserve"> (AAV – </w:t>
      </w:r>
      <w:proofErr w:type="spellStart"/>
      <w:r w:rsidRPr="00360F5E">
        <w:rPr>
          <w:i/>
        </w:rPr>
        <w:t>Intended</w:t>
      </w:r>
      <w:proofErr w:type="spellEnd"/>
      <w:r w:rsidRPr="00360F5E">
        <w:rPr>
          <w:i/>
        </w:rPr>
        <w:t xml:space="preserve"> Learning </w:t>
      </w:r>
      <w:proofErr w:type="spellStart"/>
      <w:r w:rsidRPr="00360F5E">
        <w:rPr>
          <w:i/>
        </w:rPr>
        <w:t>Outcome</w:t>
      </w:r>
      <w:proofErr w:type="spellEnd"/>
      <w:r>
        <w:t>) décrit de manière précise ce qu’un apprenant devrait être capable de « faire » à l’issue de tout ou partie d’un parcours d’apprentissage (de formation).</w:t>
      </w:r>
    </w:p>
    <w:p w14:paraId="38F38BA0" w14:textId="3006ED8F" w:rsidR="0009620B" w:rsidRDefault="0009620B" w:rsidP="00C97C68">
      <w:pPr>
        <w:pStyle w:val="MyParagr-n2"/>
        <w:ind w:left="0"/>
      </w:pPr>
      <w:r>
        <w:t>Que ce soit lors de l’examen des acquis d’apprentissage visés par (une partie d’) un programme de formation ou lors de la construction de la liste de ces acquis, il est utile de pouvoir formuler un diagnostic aussi objectif que possible afin de s’assurer de la qualité de la liste d’acquis et de déceler les éventuels points d’amélioration.</w:t>
      </w:r>
    </w:p>
    <w:p w14:paraId="55BD8F4C" w14:textId="7CCDC63A" w:rsidR="007F3CD8" w:rsidRDefault="007F3CD8" w:rsidP="00C97C68">
      <w:pPr>
        <w:pStyle w:val="MyParagr-n2-cont"/>
        <w:ind w:left="0"/>
      </w:pPr>
      <w:r>
        <w:t xml:space="preserve">Nous présentons ci-dessous </w:t>
      </w:r>
      <w:r w:rsidR="004B210C">
        <w:t>une</w:t>
      </w:r>
      <w:r>
        <w:t xml:space="preserve"> grille </w:t>
      </w:r>
      <w:proofErr w:type="spellStart"/>
      <w:r>
        <w:t>critériée</w:t>
      </w:r>
      <w:proofErr w:type="spellEnd"/>
      <w:r w:rsidR="0056123E">
        <w:t xml:space="preserve"> (</w:t>
      </w:r>
      <w:r w:rsidR="0056123E" w:rsidRPr="00E31520">
        <w:rPr>
          <w:i/>
        </w:rPr>
        <w:t>« </w:t>
      </w:r>
      <w:proofErr w:type="spellStart"/>
      <w:r w:rsidR="0056123E" w:rsidRPr="00E31520">
        <w:rPr>
          <w:i/>
        </w:rPr>
        <w:t>rubric</w:t>
      </w:r>
      <w:proofErr w:type="spellEnd"/>
      <w:r w:rsidR="0056123E" w:rsidRPr="00E31520">
        <w:rPr>
          <w:i/>
        </w:rPr>
        <w:t> »</w:t>
      </w:r>
      <w:r w:rsidR="0056123E">
        <w:t>)</w:t>
      </w:r>
      <w:r>
        <w:t> </w:t>
      </w:r>
      <w:r w:rsidR="00DA3E8A">
        <w:t xml:space="preserve">(voir </w:t>
      </w:r>
      <w:r w:rsidR="00E31520">
        <w:t xml:space="preserve">le </w:t>
      </w:r>
      <w:r w:rsidR="00DA3E8A">
        <w:t>Cahier</w:t>
      </w:r>
      <w:r w:rsidR="00E31520">
        <w:t xml:space="preserve"> FA2L</w:t>
      </w:r>
      <w:r w:rsidR="00DA3E8A">
        <w:t xml:space="preserve"> </w:t>
      </w:r>
      <w:r w:rsidR="00DA3E8A" w:rsidRPr="005E532F">
        <w:rPr>
          <w:i/>
        </w:rPr>
        <w:t>L’évaluation des apprentissages</w:t>
      </w:r>
      <w:r w:rsidR="00DA3E8A">
        <w:t xml:space="preserve">) </w:t>
      </w:r>
      <w:r>
        <w:t xml:space="preserve">pour évaluer </w:t>
      </w:r>
      <w:r w:rsidR="0056123E" w:rsidRPr="0039188A">
        <w:rPr>
          <w:b/>
        </w:rPr>
        <w:t>un</w:t>
      </w:r>
      <w:r w:rsidR="00720320" w:rsidRPr="0039188A">
        <w:rPr>
          <w:b/>
        </w:rPr>
        <w:t>e liste d’</w:t>
      </w:r>
      <w:r w:rsidR="0056123E" w:rsidRPr="0039188A">
        <w:rPr>
          <w:b/>
        </w:rPr>
        <w:t>acquis d’apprentissage</w:t>
      </w:r>
      <w:r w:rsidR="00720320">
        <w:t xml:space="preserve"> visés par un dispositif</w:t>
      </w:r>
      <w:r w:rsidR="004B210C">
        <w:t xml:space="preserve">. </w:t>
      </w:r>
      <w:r w:rsidR="009776EF">
        <w:t>La grille proposée ici est très largement inspirée d’une grille utilisée par un grand nombre d’universités américaines (</w:t>
      </w:r>
      <w:proofErr w:type="spellStart"/>
      <w:r w:rsidR="009776EF">
        <w:t>cfr</w:t>
      </w:r>
      <w:proofErr w:type="spellEnd"/>
      <w:r w:rsidR="009776EF">
        <w:t xml:space="preserve">. https://www.wscuc.org/). </w:t>
      </w:r>
      <w:r w:rsidR="004B210C">
        <w:t>Une autre grille existe</w:t>
      </w:r>
      <w:r w:rsidR="0056123E">
        <w:t xml:space="preserve"> </w:t>
      </w:r>
      <w:r>
        <w:t xml:space="preserve">pour évaluer </w:t>
      </w:r>
      <w:r w:rsidR="00360F5E">
        <w:t xml:space="preserve">la qualité </w:t>
      </w:r>
      <w:r w:rsidR="00BA4207">
        <w:t>de chaque</w:t>
      </w:r>
      <w:r w:rsidR="00720320">
        <w:t xml:space="preserve"> </w:t>
      </w:r>
      <w:r w:rsidR="0056123E">
        <w:t>acquis d’apprentissage</w:t>
      </w:r>
      <w:r w:rsidR="00720320">
        <w:t xml:space="preserve"> </w:t>
      </w:r>
      <w:r w:rsidR="00BA4207">
        <w:t xml:space="preserve">pris </w:t>
      </w:r>
      <w:r w:rsidR="00720320">
        <w:t>individuel</w:t>
      </w:r>
      <w:r w:rsidR="00BA4207">
        <w:t>lement</w:t>
      </w:r>
      <w:r>
        <w:t>.</w:t>
      </w:r>
    </w:p>
    <w:p w14:paraId="706F8D68" w14:textId="2AB83073" w:rsidR="007F3CD8" w:rsidRDefault="004B210C" w:rsidP="00C97C68">
      <w:pPr>
        <w:pStyle w:val="MyParagr-n2"/>
        <w:ind w:left="0"/>
      </w:pPr>
      <w:r>
        <w:t>La</w:t>
      </w:r>
      <w:r w:rsidR="00AE3601">
        <w:t xml:space="preserve"> grille propose</w:t>
      </w:r>
      <w:r w:rsidR="007F3CD8">
        <w:t xml:space="preserve"> une série </w:t>
      </w:r>
      <w:r>
        <w:t>(</w:t>
      </w:r>
      <w:r w:rsidR="007F3CD8">
        <w:t>non exhaustive</w:t>
      </w:r>
      <w:r>
        <w:t>)</w:t>
      </w:r>
      <w:r w:rsidR="007F3CD8">
        <w:t xml:space="preserve"> de critères pouvant être pris en compte lors de l’analyse ou de la conception </w:t>
      </w:r>
      <w:r w:rsidR="00BA4207">
        <w:t xml:space="preserve">de listes </w:t>
      </w:r>
      <w:r w:rsidR="007F3CD8">
        <w:t>d’acquis d’apprentissage. Pour chaque critère, la grille distingue quatre niveaux de qualité, du plus faible («</w:t>
      </w:r>
      <w:r w:rsidR="007F3CD8" w:rsidRPr="004B210C">
        <w:rPr>
          <w:b/>
        </w:rPr>
        <w:t xml:space="preserve"> -</w:t>
      </w:r>
      <w:r w:rsidR="007F3CD8">
        <w:t xml:space="preserve"> ») au plus élevé (« </w:t>
      </w:r>
      <w:r w:rsidR="007F3CD8" w:rsidRPr="004B210C">
        <w:rPr>
          <w:b/>
        </w:rPr>
        <w:t>+++</w:t>
      </w:r>
      <w:r w:rsidR="007F3CD8">
        <w:t xml:space="preserve"> »). Chacun de ces niveaux est décrit de manière à permettre de situer, pour chaque critère, le niveau atteint par l</w:t>
      </w:r>
      <w:r w:rsidR="00720320">
        <w:t>a liste d’</w:t>
      </w:r>
      <w:r w:rsidR="007F3CD8">
        <w:t>acquis analysé</w:t>
      </w:r>
      <w:r w:rsidR="00720320">
        <w:t>e</w:t>
      </w:r>
      <w:r w:rsidR="007F3CD8">
        <w:t>.</w:t>
      </w:r>
    </w:p>
    <w:p w14:paraId="6FD53F0E" w14:textId="54F014A3" w:rsidR="007F3CD8" w:rsidRDefault="007F3CD8" w:rsidP="00C97C68">
      <w:pPr>
        <w:pStyle w:val="MyParagr-n2-cont"/>
        <w:ind w:left="0"/>
      </w:pPr>
      <w:r>
        <w:t xml:space="preserve">Une fois le diagnostic global ainsi construit, l’attention se portera évidemment sur les critères ayant un niveau de qualité plus faible que celui que l’on souhaite atteindre. Cela permet de revoir, selon les cas, </w:t>
      </w:r>
      <w:r w:rsidR="00BA4207">
        <w:t>la liste des</w:t>
      </w:r>
      <w:r>
        <w:t xml:space="preserve"> acquis d’apprentissage et d’en faire graduellement progresser la qualité.</w:t>
      </w:r>
    </w:p>
    <w:p w14:paraId="4EB84C2D" w14:textId="28422180" w:rsidR="0051231A" w:rsidRDefault="0056123E" w:rsidP="00C97C68">
      <w:pPr>
        <w:pStyle w:val="MyParagr-n2-cont"/>
        <w:ind w:left="0"/>
      </w:pPr>
      <w:r>
        <w:t>Rappelons que la liste de critères proposés ne vise</w:t>
      </w:r>
      <w:r w:rsidR="0051231A">
        <w:t xml:space="preserve"> en rien l’exhaustivité : chacun devra compléter/alléger et adapter l</w:t>
      </w:r>
      <w:r w:rsidR="00FA6813">
        <w:t>a</w:t>
      </w:r>
      <w:r w:rsidR="0051231A">
        <w:t xml:space="preserve"> grille en fonction </w:t>
      </w:r>
      <w:r w:rsidR="004B210C">
        <w:t>de sa situation particulière</w:t>
      </w:r>
      <w:r w:rsidR="00FA6813">
        <w:t xml:space="preserve"> et de ses besoins propres</w:t>
      </w:r>
      <w:r w:rsidR="0051231A">
        <w:t>.</w:t>
      </w:r>
    </w:p>
    <w:p w14:paraId="2C673671" w14:textId="58E30238" w:rsidR="00070B07" w:rsidRDefault="00070B07" w:rsidP="00C97C68">
      <w:pPr>
        <w:pStyle w:val="MyParagr-n2-cont"/>
        <w:ind w:left="0"/>
      </w:pPr>
    </w:p>
    <w:p w14:paraId="3C62602C" w14:textId="67DDF0E1" w:rsidR="0009620B" w:rsidRDefault="0009620B" w:rsidP="0009620B"/>
    <w:p w14:paraId="25104CBB" w14:textId="77777777" w:rsidR="0009620B" w:rsidRDefault="0009620B" w:rsidP="0009620B">
      <w:pPr>
        <w:rPr>
          <w:lang w:eastAsia="en-US"/>
        </w:rPr>
      </w:pPr>
    </w:p>
    <w:p w14:paraId="7D5C661D" w14:textId="77777777" w:rsidR="0009620B" w:rsidRDefault="0009620B" w:rsidP="0009620B">
      <w:pPr>
        <w:rPr>
          <w:lang w:eastAsia="en-US"/>
        </w:rPr>
      </w:pPr>
    </w:p>
    <w:p w14:paraId="5CC671FA" w14:textId="77777777" w:rsidR="0009620B" w:rsidRDefault="0009620B" w:rsidP="0009620B">
      <w:pPr>
        <w:rPr>
          <w:lang w:eastAsia="en-US"/>
        </w:rPr>
      </w:pPr>
    </w:p>
    <w:p w14:paraId="440F5F02" w14:textId="77777777" w:rsidR="0009620B" w:rsidRDefault="0009620B" w:rsidP="0009620B">
      <w:pPr>
        <w:rPr>
          <w:lang w:eastAsia="en-US"/>
        </w:rPr>
      </w:pPr>
    </w:p>
    <w:p w14:paraId="12E8C807" w14:textId="6662D373" w:rsidR="00C97C68" w:rsidRDefault="00C97C68" w:rsidP="0009620B">
      <w:pPr>
        <w:rPr>
          <w:lang w:eastAsia="en-US"/>
        </w:rPr>
      </w:pPr>
    </w:p>
    <w:p w14:paraId="3DD7F95B" w14:textId="77777777" w:rsidR="00C97C68" w:rsidRPr="00C97C68" w:rsidRDefault="00C97C68" w:rsidP="00C97C68">
      <w:pPr>
        <w:rPr>
          <w:lang w:eastAsia="en-US"/>
        </w:rPr>
      </w:pPr>
    </w:p>
    <w:p w14:paraId="27A41880" w14:textId="77777777" w:rsidR="00C97C68" w:rsidRPr="00C97C68" w:rsidRDefault="00C97C68" w:rsidP="00C97C68">
      <w:pPr>
        <w:rPr>
          <w:lang w:eastAsia="en-US"/>
        </w:rPr>
      </w:pPr>
    </w:p>
    <w:p w14:paraId="61599F5C" w14:textId="77777777" w:rsidR="00C97C68" w:rsidRPr="00C97C68" w:rsidRDefault="00C97C68" w:rsidP="00C97C68">
      <w:pPr>
        <w:rPr>
          <w:lang w:eastAsia="en-US"/>
        </w:rPr>
      </w:pPr>
    </w:p>
    <w:p w14:paraId="7856E154" w14:textId="464364B0" w:rsidR="00C97C68" w:rsidRDefault="00C97C68" w:rsidP="00C97C68">
      <w:pPr>
        <w:rPr>
          <w:lang w:eastAsia="en-US"/>
        </w:rPr>
      </w:pPr>
    </w:p>
    <w:p w14:paraId="227A8CBB" w14:textId="7D0157FE" w:rsidR="00C97C68" w:rsidRDefault="00C97C68" w:rsidP="00C97C68">
      <w:pPr>
        <w:tabs>
          <w:tab w:val="left" w:pos="2415"/>
        </w:tabs>
        <w:rPr>
          <w:lang w:eastAsia="en-US"/>
        </w:rPr>
      </w:pPr>
      <w:r>
        <w:rPr>
          <w:lang w:eastAsia="en-US"/>
        </w:rPr>
        <w:tab/>
      </w:r>
    </w:p>
    <w:p w14:paraId="0558FEA8" w14:textId="422E15A6" w:rsidR="00E53FA7" w:rsidRPr="00C97C68" w:rsidRDefault="00C97C68" w:rsidP="00C97C68">
      <w:pPr>
        <w:tabs>
          <w:tab w:val="left" w:pos="2415"/>
        </w:tabs>
        <w:rPr>
          <w:lang w:eastAsia="en-US"/>
        </w:rPr>
        <w:sectPr w:rsidR="00E53FA7" w:rsidRPr="00C97C68" w:rsidSect="00C97C68">
          <w:headerReference w:type="default" r:id="rId8"/>
          <w:footerReference w:type="default" r:id="rId9"/>
          <w:pgSz w:w="11900" w:h="16820"/>
          <w:pgMar w:top="1440" w:right="1800" w:bottom="1440" w:left="1800" w:header="708" w:footer="325" w:gutter="0"/>
          <w:cols w:space="720"/>
          <w:docGrid w:linePitch="360"/>
        </w:sectPr>
      </w:pPr>
      <w:r>
        <w:rPr>
          <w:lang w:eastAsia="en-US"/>
        </w:rPr>
        <w:tab/>
      </w:r>
    </w:p>
    <w:bookmarkEnd w:id="0"/>
    <w:bookmarkEnd w:id="1"/>
    <w:bookmarkEnd w:id="2"/>
    <w:bookmarkEnd w:id="3"/>
    <w:bookmarkEnd w:id="4"/>
    <w:bookmarkEnd w:id="5"/>
    <w:p w14:paraId="35B943D3" w14:textId="724D0F45" w:rsidR="002733A6" w:rsidRPr="00C47AF6" w:rsidRDefault="002733A6" w:rsidP="002733A6">
      <w:pPr>
        <w:spacing w:after="240"/>
        <w:rPr>
          <w:b/>
          <w:sz w:val="28"/>
        </w:rPr>
      </w:pPr>
      <w:r w:rsidRPr="00C47AF6">
        <w:rPr>
          <w:b/>
          <w:sz w:val="28"/>
        </w:rPr>
        <w:lastRenderedPageBreak/>
        <w:t>Une grille critériée pour évaluer</w:t>
      </w:r>
      <w:r w:rsidR="00D47A9B">
        <w:rPr>
          <w:b/>
          <w:sz w:val="28"/>
        </w:rPr>
        <w:t xml:space="preserve"> une </w:t>
      </w:r>
      <w:r w:rsidR="00D47A9B" w:rsidRPr="00C648C7">
        <w:rPr>
          <w:b/>
          <w:sz w:val="28"/>
          <w:u w:val="single"/>
        </w:rPr>
        <w:t>liste</w:t>
      </w:r>
      <w:r w:rsidR="00D47A9B">
        <w:rPr>
          <w:b/>
          <w:sz w:val="28"/>
        </w:rPr>
        <w:t xml:space="preserve"> d’</w:t>
      </w:r>
      <w:r w:rsidRPr="00C47AF6">
        <w:rPr>
          <w:b/>
          <w:sz w:val="28"/>
        </w:rPr>
        <w:t>acquis d’apprentissage visé</w:t>
      </w:r>
      <w:r w:rsidR="00D47A9B">
        <w:rPr>
          <w:b/>
          <w:sz w:val="28"/>
        </w:rPr>
        <w:t>s</w:t>
      </w:r>
      <w:r>
        <w:rPr>
          <w:b/>
          <w:sz w:val="28"/>
        </w:rPr>
        <w:t xml:space="preserve"> par un dispositif d’apprentissage</w:t>
      </w:r>
    </w:p>
    <w:tbl>
      <w:tblPr>
        <w:tblStyle w:val="Grilledutableau"/>
        <w:tblW w:w="0" w:type="auto"/>
        <w:tblLayout w:type="fixed"/>
        <w:tblLook w:val="04A0" w:firstRow="1" w:lastRow="0" w:firstColumn="1" w:lastColumn="0" w:noHBand="0" w:noVBand="1"/>
      </w:tblPr>
      <w:tblGrid>
        <w:gridCol w:w="1701"/>
        <w:gridCol w:w="2438"/>
        <w:gridCol w:w="2438"/>
        <w:gridCol w:w="2438"/>
        <w:gridCol w:w="2438"/>
        <w:gridCol w:w="2438"/>
      </w:tblGrid>
      <w:tr w:rsidR="00C648C7" w:rsidRPr="000A3FCE" w14:paraId="5E7BCBD4" w14:textId="77777777" w:rsidTr="00947335">
        <w:trPr>
          <w:cantSplit/>
          <w:trHeight w:val="803"/>
        </w:trPr>
        <w:tc>
          <w:tcPr>
            <w:tcW w:w="1701" w:type="dxa"/>
            <w:tcBorders>
              <w:top w:val="single" w:sz="18" w:space="0" w:color="auto"/>
              <w:left w:val="single" w:sz="18" w:space="0" w:color="auto"/>
              <w:bottom w:val="single" w:sz="18" w:space="0" w:color="auto"/>
              <w:right w:val="single" w:sz="18" w:space="0" w:color="auto"/>
            </w:tcBorders>
          </w:tcPr>
          <w:p w14:paraId="64F1D916" w14:textId="77777777" w:rsidR="00C648C7" w:rsidRPr="000A3FCE" w:rsidRDefault="00C648C7" w:rsidP="00947335">
            <w:pPr>
              <w:spacing w:before="120"/>
              <w:jc w:val="center"/>
              <w:rPr>
                <w:b/>
                <w:sz w:val="24"/>
              </w:rPr>
            </w:pPr>
            <w:r w:rsidRPr="000A3FCE">
              <w:rPr>
                <w:b/>
                <w:sz w:val="24"/>
              </w:rPr>
              <w:t>Catégorie de critère</w:t>
            </w:r>
          </w:p>
        </w:tc>
        <w:tc>
          <w:tcPr>
            <w:tcW w:w="2438" w:type="dxa"/>
            <w:tcBorders>
              <w:top w:val="single" w:sz="18" w:space="0" w:color="auto"/>
              <w:left w:val="single" w:sz="18" w:space="0" w:color="auto"/>
              <w:bottom w:val="single" w:sz="18" w:space="0" w:color="auto"/>
              <w:right w:val="single" w:sz="18" w:space="0" w:color="auto"/>
            </w:tcBorders>
            <w:vAlign w:val="center"/>
          </w:tcPr>
          <w:p w14:paraId="2D220BD7" w14:textId="77777777" w:rsidR="00C648C7" w:rsidRPr="000A3FCE" w:rsidRDefault="00C648C7" w:rsidP="00947335">
            <w:pPr>
              <w:jc w:val="center"/>
              <w:rPr>
                <w:b/>
                <w:sz w:val="24"/>
              </w:rPr>
            </w:pPr>
            <w:r w:rsidRPr="000A3FCE">
              <w:rPr>
                <w:b/>
                <w:sz w:val="24"/>
              </w:rPr>
              <w:t>Critère</w:t>
            </w:r>
          </w:p>
        </w:tc>
        <w:tc>
          <w:tcPr>
            <w:tcW w:w="2438" w:type="dxa"/>
            <w:tcBorders>
              <w:top w:val="single" w:sz="18" w:space="0" w:color="auto"/>
              <w:left w:val="single" w:sz="18" w:space="0" w:color="auto"/>
              <w:bottom w:val="single" w:sz="18" w:space="0" w:color="auto"/>
              <w:right w:val="single" w:sz="18" w:space="0" w:color="auto"/>
            </w:tcBorders>
          </w:tcPr>
          <w:p w14:paraId="0E2D11B2" w14:textId="77777777" w:rsidR="00C648C7" w:rsidRPr="000A3FCE" w:rsidRDefault="00C648C7" w:rsidP="00947335">
            <w:pPr>
              <w:spacing w:before="180" w:after="120"/>
              <w:jc w:val="center"/>
              <w:rPr>
                <w:b/>
                <w:sz w:val="28"/>
              </w:rPr>
            </w:pPr>
            <w:r w:rsidRPr="000A3FCE">
              <w:rPr>
                <w:b/>
                <w:sz w:val="28"/>
              </w:rPr>
              <w:t>–</w:t>
            </w:r>
          </w:p>
        </w:tc>
        <w:tc>
          <w:tcPr>
            <w:tcW w:w="2438" w:type="dxa"/>
            <w:tcBorders>
              <w:top w:val="single" w:sz="18" w:space="0" w:color="auto"/>
              <w:left w:val="single" w:sz="18" w:space="0" w:color="auto"/>
              <w:bottom w:val="single" w:sz="18" w:space="0" w:color="auto"/>
              <w:right w:val="single" w:sz="18" w:space="0" w:color="auto"/>
            </w:tcBorders>
          </w:tcPr>
          <w:p w14:paraId="720CA44A" w14:textId="77777777" w:rsidR="00C648C7" w:rsidRPr="000A3FCE" w:rsidRDefault="00C648C7" w:rsidP="00947335">
            <w:pPr>
              <w:spacing w:before="180" w:after="120"/>
              <w:jc w:val="center"/>
              <w:rPr>
                <w:b/>
                <w:sz w:val="28"/>
              </w:rPr>
            </w:pPr>
            <w:r w:rsidRPr="000A3FCE">
              <w:rPr>
                <w:b/>
                <w:sz w:val="28"/>
              </w:rPr>
              <w:t>+</w:t>
            </w:r>
          </w:p>
        </w:tc>
        <w:tc>
          <w:tcPr>
            <w:tcW w:w="2438" w:type="dxa"/>
            <w:tcBorders>
              <w:top w:val="single" w:sz="18" w:space="0" w:color="auto"/>
              <w:left w:val="single" w:sz="18" w:space="0" w:color="auto"/>
              <w:bottom w:val="single" w:sz="18" w:space="0" w:color="auto"/>
              <w:right w:val="single" w:sz="18" w:space="0" w:color="auto"/>
            </w:tcBorders>
          </w:tcPr>
          <w:p w14:paraId="6A07A7C9" w14:textId="77777777" w:rsidR="00C648C7" w:rsidRPr="000A3FCE" w:rsidRDefault="00C648C7" w:rsidP="00947335">
            <w:pPr>
              <w:spacing w:before="180" w:after="120"/>
              <w:jc w:val="center"/>
              <w:rPr>
                <w:b/>
                <w:sz w:val="28"/>
              </w:rPr>
            </w:pPr>
            <w:r w:rsidRPr="000A3FCE">
              <w:rPr>
                <w:b/>
                <w:sz w:val="28"/>
              </w:rPr>
              <w:t>++</w:t>
            </w:r>
          </w:p>
        </w:tc>
        <w:tc>
          <w:tcPr>
            <w:tcW w:w="2438" w:type="dxa"/>
            <w:tcBorders>
              <w:top w:val="single" w:sz="18" w:space="0" w:color="auto"/>
              <w:left w:val="single" w:sz="18" w:space="0" w:color="auto"/>
              <w:bottom w:val="single" w:sz="18" w:space="0" w:color="auto"/>
              <w:right w:val="single" w:sz="18" w:space="0" w:color="auto"/>
            </w:tcBorders>
          </w:tcPr>
          <w:p w14:paraId="42BCC26E" w14:textId="77777777" w:rsidR="00C648C7" w:rsidRPr="000A3FCE" w:rsidRDefault="00C648C7" w:rsidP="00947335">
            <w:pPr>
              <w:spacing w:before="180" w:after="120"/>
              <w:jc w:val="center"/>
              <w:rPr>
                <w:b/>
                <w:sz w:val="28"/>
              </w:rPr>
            </w:pPr>
            <w:r w:rsidRPr="000A3FCE">
              <w:rPr>
                <w:b/>
                <w:sz w:val="28"/>
              </w:rPr>
              <w:t>+++</w:t>
            </w:r>
          </w:p>
        </w:tc>
      </w:tr>
      <w:tr w:rsidR="00C648C7" w:rsidRPr="000A3FCE" w14:paraId="5746D910" w14:textId="77777777" w:rsidTr="00947335">
        <w:trPr>
          <w:cantSplit/>
        </w:trPr>
        <w:tc>
          <w:tcPr>
            <w:tcW w:w="1701" w:type="dxa"/>
            <w:vMerge w:val="restart"/>
            <w:tcBorders>
              <w:top w:val="single" w:sz="18" w:space="0" w:color="auto"/>
            </w:tcBorders>
            <w:textDirection w:val="btLr"/>
            <w:vAlign w:val="center"/>
          </w:tcPr>
          <w:p w14:paraId="4E476400" w14:textId="77777777" w:rsidR="00C648C7" w:rsidRPr="000A3FCE" w:rsidRDefault="00C648C7" w:rsidP="00947335">
            <w:pPr>
              <w:spacing w:before="120" w:after="120"/>
              <w:ind w:left="113" w:right="113"/>
              <w:jc w:val="center"/>
              <w:rPr>
                <w:b/>
              </w:rPr>
            </w:pPr>
            <w:r>
              <w:rPr>
                <w:b/>
                <w:sz w:val="24"/>
              </w:rPr>
              <w:t>Contenu</w:t>
            </w:r>
          </w:p>
        </w:tc>
        <w:tc>
          <w:tcPr>
            <w:tcW w:w="2438" w:type="dxa"/>
            <w:tcBorders>
              <w:top w:val="single" w:sz="18" w:space="0" w:color="auto"/>
            </w:tcBorders>
            <w:vAlign w:val="center"/>
          </w:tcPr>
          <w:p w14:paraId="23D421A1" w14:textId="77777777" w:rsidR="00C648C7" w:rsidRPr="000A3FCE" w:rsidRDefault="00C648C7" w:rsidP="00947335">
            <w:pPr>
              <w:pStyle w:val="Paragraphedeliste"/>
              <w:numPr>
                <w:ilvl w:val="0"/>
                <w:numId w:val="51"/>
              </w:numPr>
              <w:spacing w:before="120" w:after="120"/>
              <w:ind w:left="227" w:hanging="284"/>
              <w:rPr>
                <w:b/>
                <w:lang w:val="fr-BE"/>
              </w:rPr>
            </w:pPr>
            <w:r w:rsidRPr="000A3FCE">
              <w:rPr>
                <w:b/>
                <w:lang w:val="fr-BE"/>
              </w:rPr>
              <w:t>La liste est</w:t>
            </w:r>
            <w:r>
              <w:rPr>
                <w:b/>
                <w:lang w:val="fr-BE"/>
              </w:rPr>
              <w:t xml:space="preserve"> </w:t>
            </w:r>
            <w:r w:rsidRPr="000A3FCE">
              <w:rPr>
                <w:b/>
                <w:lang w:val="fr-BE"/>
              </w:rPr>
              <w:t>complète</w:t>
            </w:r>
          </w:p>
        </w:tc>
        <w:tc>
          <w:tcPr>
            <w:tcW w:w="2438" w:type="dxa"/>
            <w:tcBorders>
              <w:top w:val="single" w:sz="18" w:space="0" w:color="auto"/>
            </w:tcBorders>
          </w:tcPr>
          <w:p w14:paraId="1C1AD7DC" w14:textId="77777777" w:rsidR="00C648C7" w:rsidRPr="000A3FCE" w:rsidRDefault="00C648C7" w:rsidP="00947335">
            <w:pPr>
              <w:spacing w:before="60" w:after="60"/>
              <w:rPr>
                <w:sz w:val="18"/>
                <w:szCs w:val="18"/>
              </w:rPr>
            </w:pPr>
            <w:r w:rsidRPr="000A3FCE">
              <w:rPr>
                <w:sz w:val="18"/>
                <w:szCs w:val="18"/>
              </w:rPr>
              <w:t>La liste est incomplète ; elle omet les AAV de certain</w:t>
            </w:r>
            <w:r>
              <w:rPr>
                <w:sz w:val="18"/>
                <w:szCs w:val="18"/>
              </w:rPr>
              <w:t>es</w:t>
            </w:r>
            <w:r w:rsidRPr="000A3FCE">
              <w:rPr>
                <w:sz w:val="18"/>
                <w:szCs w:val="18"/>
              </w:rPr>
              <w:t xml:space="preserve"> </w:t>
            </w:r>
            <w:r>
              <w:rPr>
                <w:sz w:val="18"/>
                <w:szCs w:val="18"/>
              </w:rPr>
              <w:t>parties du programme</w:t>
            </w:r>
            <w:r w:rsidRPr="000A3FCE">
              <w:rPr>
                <w:sz w:val="18"/>
                <w:szCs w:val="18"/>
              </w:rPr>
              <w:t xml:space="preserve"> </w:t>
            </w:r>
            <w:r>
              <w:rPr>
                <w:sz w:val="18"/>
                <w:szCs w:val="18"/>
              </w:rPr>
              <w:t>ou des AAV essentiels</w:t>
            </w:r>
          </w:p>
        </w:tc>
        <w:tc>
          <w:tcPr>
            <w:tcW w:w="2438" w:type="dxa"/>
            <w:tcBorders>
              <w:top w:val="single" w:sz="18" w:space="0" w:color="auto"/>
            </w:tcBorders>
          </w:tcPr>
          <w:p w14:paraId="4CD7D981" w14:textId="77777777" w:rsidR="00C648C7" w:rsidRPr="000A3FCE" w:rsidRDefault="00C648C7" w:rsidP="00947335">
            <w:pPr>
              <w:pStyle w:val="Entry"/>
            </w:pPr>
            <w:r w:rsidRPr="000A3FCE">
              <w:t xml:space="preserve">La liste est raisonnable et les acquis d’apprentissage sont bien formulés </w:t>
            </w:r>
          </w:p>
          <w:p w14:paraId="0FC007C0" w14:textId="77777777" w:rsidR="00C648C7" w:rsidRPr="000A3FCE" w:rsidRDefault="00C648C7" w:rsidP="00947335">
            <w:pPr>
              <w:spacing w:before="60" w:after="60"/>
              <w:rPr>
                <w:sz w:val="18"/>
                <w:szCs w:val="18"/>
              </w:rPr>
            </w:pPr>
          </w:p>
        </w:tc>
        <w:tc>
          <w:tcPr>
            <w:tcW w:w="2438" w:type="dxa"/>
            <w:tcBorders>
              <w:top w:val="single" w:sz="18" w:space="0" w:color="auto"/>
            </w:tcBorders>
          </w:tcPr>
          <w:p w14:paraId="54F61B14" w14:textId="77777777" w:rsidR="00C648C7" w:rsidRPr="00213C31" w:rsidRDefault="00C648C7" w:rsidP="00947335">
            <w:pPr>
              <w:spacing w:before="60" w:after="60"/>
              <w:rPr>
                <w:sz w:val="18"/>
                <w:szCs w:val="18"/>
              </w:rPr>
            </w:pPr>
            <w:r w:rsidRPr="00213C31">
              <w:rPr>
                <w:sz w:val="18"/>
                <w:szCs w:val="18"/>
              </w:rPr>
              <w:t>La liste est constituée d’un ensemble d’acquis focalisés sur les principaux savoirs, savoir-faire, attitudes et valeurs à acquérir</w:t>
            </w:r>
            <w:r>
              <w:rPr>
                <w:sz w:val="18"/>
                <w:szCs w:val="18"/>
              </w:rPr>
              <w:t xml:space="preserve"> par le programme de formation</w:t>
            </w:r>
          </w:p>
        </w:tc>
        <w:tc>
          <w:tcPr>
            <w:tcW w:w="2438" w:type="dxa"/>
            <w:tcBorders>
              <w:top w:val="single" w:sz="18" w:space="0" w:color="auto"/>
            </w:tcBorders>
          </w:tcPr>
          <w:p w14:paraId="0079AF4D" w14:textId="77777777" w:rsidR="00C648C7" w:rsidRPr="000A3FCE" w:rsidRDefault="00C648C7" w:rsidP="00947335">
            <w:pPr>
              <w:spacing w:before="60" w:after="60"/>
              <w:rPr>
                <w:sz w:val="18"/>
                <w:szCs w:val="18"/>
              </w:rPr>
            </w:pPr>
            <w:r>
              <w:rPr>
                <w:sz w:val="18"/>
                <w:szCs w:val="18"/>
              </w:rPr>
              <w:t>Un organe indépendant dans lequel siègent des parties prenantes externes à l’établissement a validé la liste des AAV</w:t>
            </w:r>
          </w:p>
        </w:tc>
      </w:tr>
      <w:tr w:rsidR="00C648C7" w:rsidRPr="000A3FCE" w14:paraId="7EBB6EAE" w14:textId="77777777" w:rsidTr="00947335">
        <w:trPr>
          <w:cantSplit/>
        </w:trPr>
        <w:tc>
          <w:tcPr>
            <w:tcW w:w="1701" w:type="dxa"/>
            <w:vMerge/>
            <w:textDirection w:val="btLr"/>
          </w:tcPr>
          <w:p w14:paraId="54022E94" w14:textId="77777777" w:rsidR="00C648C7" w:rsidRPr="000A3FCE" w:rsidRDefault="00C648C7" w:rsidP="00947335">
            <w:pPr>
              <w:pStyle w:val="Paragraphedeliste"/>
              <w:spacing w:before="120" w:after="120"/>
              <w:ind w:left="227" w:right="113"/>
              <w:rPr>
                <w:b/>
                <w:lang w:val="fr-BE"/>
              </w:rPr>
            </w:pPr>
          </w:p>
        </w:tc>
        <w:tc>
          <w:tcPr>
            <w:tcW w:w="2438" w:type="dxa"/>
            <w:tcBorders>
              <w:top w:val="single" w:sz="4" w:space="0" w:color="auto"/>
            </w:tcBorders>
            <w:vAlign w:val="center"/>
          </w:tcPr>
          <w:p w14:paraId="72C1BB0E" w14:textId="77777777" w:rsidR="00C648C7" w:rsidRPr="005034CB" w:rsidRDefault="00C648C7" w:rsidP="00947335">
            <w:pPr>
              <w:pStyle w:val="Paragraphedeliste"/>
              <w:numPr>
                <w:ilvl w:val="0"/>
                <w:numId w:val="51"/>
              </w:numPr>
              <w:spacing w:before="120" w:after="120"/>
              <w:ind w:left="227" w:hanging="284"/>
              <w:contextualSpacing w:val="0"/>
              <w:rPr>
                <w:b/>
                <w:i/>
                <w:iCs/>
                <w:color w:val="404040" w:themeColor="text1" w:themeTint="BF"/>
                <w:lang w:val="fr-BE"/>
              </w:rPr>
            </w:pPr>
            <w:r w:rsidRPr="000A3FCE">
              <w:rPr>
                <w:b/>
                <w:lang w:val="fr-BE"/>
              </w:rPr>
              <w:t>La liste évite les redondances</w:t>
            </w:r>
            <w:r>
              <w:rPr>
                <w:b/>
                <w:lang w:val="fr-BE"/>
              </w:rPr>
              <w:t xml:space="preserve"> et les contradictions</w:t>
            </w:r>
          </w:p>
        </w:tc>
        <w:tc>
          <w:tcPr>
            <w:tcW w:w="2438" w:type="dxa"/>
            <w:tcBorders>
              <w:top w:val="single" w:sz="4" w:space="0" w:color="auto"/>
            </w:tcBorders>
          </w:tcPr>
          <w:p w14:paraId="0D31F962" w14:textId="77777777" w:rsidR="00C648C7" w:rsidRPr="000A3FCE" w:rsidRDefault="00C648C7" w:rsidP="00947335">
            <w:pPr>
              <w:spacing w:before="60" w:after="60"/>
              <w:rPr>
                <w:sz w:val="18"/>
                <w:szCs w:val="18"/>
              </w:rPr>
            </w:pPr>
            <w:r w:rsidRPr="000A3FCE">
              <w:rPr>
                <w:sz w:val="18"/>
                <w:szCs w:val="18"/>
              </w:rPr>
              <w:t>Aucun effort n’a été fait pour éviter les redondances</w:t>
            </w:r>
            <w:r>
              <w:rPr>
                <w:sz w:val="18"/>
                <w:szCs w:val="18"/>
              </w:rPr>
              <w:t xml:space="preserve"> et les contradictions, qui sont apparentes</w:t>
            </w:r>
          </w:p>
        </w:tc>
        <w:tc>
          <w:tcPr>
            <w:tcW w:w="2438" w:type="dxa"/>
            <w:tcBorders>
              <w:top w:val="single" w:sz="4" w:space="0" w:color="auto"/>
            </w:tcBorders>
          </w:tcPr>
          <w:p w14:paraId="5138CA4A" w14:textId="77777777" w:rsidR="00C648C7" w:rsidRPr="000A3FCE" w:rsidRDefault="00C648C7" w:rsidP="00947335">
            <w:pPr>
              <w:spacing w:before="60" w:after="60"/>
              <w:rPr>
                <w:sz w:val="18"/>
                <w:szCs w:val="18"/>
              </w:rPr>
            </w:pPr>
            <w:r>
              <w:rPr>
                <w:sz w:val="18"/>
                <w:szCs w:val="18"/>
              </w:rPr>
              <w:t>Il y a un petit nombre de redondances et/ou de contradictions</w:t>
            </w:r>
          </w:p>
        </w:tc>
        <w:tc>
          <w:tcPr>
            <w:tcW w:w="2438" w:type="dxa"/>
            <w:tcBorders>
              <w:top w:val="single" w:sz="4" w:space="0" w:color="auto"/>
            </w:tcBorders>
          </w:tcPr>
          <w:p w14:paraId="0AB560BD" w14:textId="77777777" w:rsidR="00C648C7" w:rsidRPr="000A3FCE" w:rsidRDefault="00C648C7" w:rsidP="00947335">
            <w:pPr>
              <w:spacing w:before="60" w:after="60"/>
              <w:rPr>
                <w:sz w:val="18"/>
                <w:szCs w:val="18"/>
              </w:rPr>
            </w:pPr>
            <w:r>
              <w:rPr>
                <w:sz w:val="18"/>
                <w:szCs w:val="18"/>
              </w:rPr>
              <w:t>-</w:t>
            </w:r>
          </w:p>
        </w:tc>
        <w:tc>
          <w:tcPr>
            <w:tcW w:w="2438" w:type="dxa"/>
            <w:tcBorders>
              <w:top w:val="single" w:sz="4" w:space="0" w:color="auto"/>
            </w:tcBorders>
          </w:tcPr>
          <w:p w14:paraId="6B4CDCB1" w14:textId="77777777" w:rsidR="00C648C7" w:rsidRPr="000A3FCE" w:rsidRDefault="00C648C7" w:rsidP="00947335">
            <w:pPr>
              <w:spacing w:before="60" w:after="60"/>
              <w:rPr>
                <w:sz w:val="18"/>
                <w:szCs w:val="18"/>
              </w:rPr>
            </w:pPr>
            <w:r w:rsidRPr="000A3FCE">
              <w:rPr>
                <w:sz w:val="18"/>
                <w:szCs w:val="18"/>
              </w:rPr>
              <w:t>La liste ne contient aucune redondance</w:t>
            </w:r>
            <w:r>
              <w:rPr>
                <w:sz w:val="18"/>
                <w:szCs w:val="18"/>
              </w:rPr>
              <w:t xml:space="preserve"> ni contradiction entre les AAV</w:t>
            </w:r>
          </w:p>
        </w:tc>
      </w:tr>
      <w:tr w:rsidR="00C648C7" w:rsidRPr="000A3FCE" w14:paraId="5C0E082F" w14:textId="77777777" w:rsidTr="00947335">
        <w:trPr>
          <w:cantSplit/>
        </w:trPr>
        <w:tc>
          <w:tcPr>
            <w:tcW w:w="1701" w:type="dxa"/>
            <w:vMerge/>
            <w:textDirection w:val="btLr"/>
          </w:tcPr>
          <w:p w14:paraId="7791F721" w14:textId="77777777" w:rsidR="00C648C7" w:rsidRPr="000A3FCE" w:rsidRDefault="00C648C7" w:rsidP="00947335">
            <w:pPr>
              <w:pStyle w:val="Paragraphedeliste"/>
              <w:spacing w:before="120" w:after="120"/>
              <w:ind w:left="227" w:right="113"/>
              <w:rPr>
                <w:b/>
                <w:lang w:val="fr-BE"/>
              </w:rPr>
            </w:pPr>
          </w:p>
        </w:tc>
        <w:tc>
          <w:tcPr>
            <w:tcW w:w="2438" w:type="dxa"/>
            <w:tcBorders>
              <w:top w:val="single" w:sz="4" w:space="0" w:color="auto"/>
              <w:bottom w:val="single" w:sz="4" w:space="0" w:color="auto"/>
            </w:tcBorders>
            <w:vAlign w:val="center"/>
          </w:tcPr>
          <w:p w14:paraId="35C298D0" w14:textId="22572C6D" w:rsidR="00C648C7" w:rsidRPr="000A3FCE" w:rsidRDefault="00C648C7" w:rsidP="00947335">
            <w:pPr>
              <w:pStyle w:val="Paragraphedeliste"/>
              <w:numPr>
                <w:ilvl w:val="0"/>
                <w:numId w:val="51"/>
              </w:numPr>
              <w:spacing w:before="120" w:after="120"/>
              <w:ind w:left="227" w:hanging="284"/>
              <w:contextualSpacing w:val="0"/>
              <w:rPr>
                <w:b/>
                <w:i/>
                <w:iCs/>
                <w:color w:val="404040" w:themeColor="text1" w:themeTint="BF"/>
                <w:lang w:val="fr-BE"/>
              </w:rPr>
            </w:pPr>
            <w:r w:rsidRPr="000A3FCE">
              <w:rPr>
                <w:b/>
                <w:lang w:val="fr-BE"/>
              </w:rPr>
              <w:t>La liste est réaliste en terme</w:t>
            </w:r>
            <w:r>
              <w:rPr>
                <w:b/>
                <w:lang w:val="fr-BE"/>
              </w:rPr>
              <w:t>s</w:t>
            </w:r>
            <w:r w:rsidR="000F66AF">
              <w:rPr>
                <w:b/>
                <w:lang w:val="fr-BE"/>
              </w:rPr>
              <w:br/>
            </w:r>
            <w:r w:rsidRPr="000A3FCE">
              <w:rPr>
                <w:b/>
                <w:lang w:val="fr-BE"/>
              </w:rPr>
              <w:t>de préacquis, d’horaires,</w:t>
            </w:r>
            <w:r w:rsidR="000F66AF">
              <w:rPr>
                <w:b/>
                <w:lang w:val="fr-BE"/>
              </w:rPr>
              <w:br/>
            </w:r>
            <w:r w:rsidRPr="000A3FCE">
              <w:rPr>
                <w:b/>
                <w:lang w:val="fr-BE"/>
              </w:rPr>
              <w:t>de personnel,</w:t>
            </w:r>
            <w:r w:rsidR="000F66AF">
              <w:rPr>
                <w:b/>
                <w:lang w:val="fr-BE"/>
              </w:rPr>
              <w:br/>
            </w:r>
            <w:r w:rsidRPr="000A3FCE">
              <w:rPr>
                <w:b/>
                <w:lang w:val="fr-BE"/>
              </w:rPr>
              <w:t>de contraintes logistiques</w:t>
            </w:r>
          </w:p>
        </w:tc>
        <w:tc>
          <w:tcPr>
            <w:tcW w:w="2438" w:type="dxa"/>
            <w:tcBorders>
              <w:top w:val="single" w:sz="4" w:space="0" w:color="auto"/>
              <w:bottom w:val="single" w:sz="4" w:space="0" w:color="auto"/>
            </w:tcBorders>
          </w:tcPr>
          <w:p w14:paraId="056D25BA" w14:textId="77777777" w:rsidR="00C648C7" w:rsidRPr="000A3FCE" w:rsidRDefault="00C648C7" w:rsidP="00947335">
            <w:pPr>
              <w:spacing w:before="60" w:after="60"/>
              <w:rPr>
                <w:sz w:val="18"/>
                <w:szCs w:val="18"/>
              </w:rPr>
            </w:pPr>
            <w:r>
              <w:rPr>
                <w:sz w:val="18"/>
                <w:szCs w:val="18"/>
              </w:rPr>
              <w:t>Il n’y a aucune trace d’une réflexion pour vérifier le caractère réaliste de la liste</w:t>
            </w:r>
          </w:p>
        </w:tc>
        <w:tc>
          <w:tcPr>
            <w:tcW w:w="2438" w:type="dxa"/>
            <w:tcBorders>
              <w:top w:val="single" w:sz="4" w:space="0" w:color="auto"/>
              <w:bottom w:val="single" w:sz="4" w:space="0" w:color="auto"/>
            </w:tcBorders>
          </w:tcPr>
          <w:p w14:paraId="474D12F5" w14:textId="77777777" w:rsidR="00C648C7" w:rsidRPr="000A3FCE" w:rsidRDefault="00C648C7" w:rsidP="00947335">
            <w:pPr>
              <w:spacing w:before="60" w:after="60"/>
              <w:rPr>
                <w:sz w:val="18"/>
                <w:szCs w:val="18"/>
              </w:rPr>
            </w:pPr>
            <w:r>
              <w:rPr>
                <w:sz w:val="18"/>
                <w:szCs w:val="18"/>
              </w:rPr>
              <w:t>Certains enseignants se sont consultés pour assurer la compatibilité entre les dispositifs dont ils ont la charge</w:t>
            </w:r>
          </w:p>
        </w:tc>
        <w:tc>
          <w:tcPr>
            <w:tcW w:w="2438" w:type="dxa"/>
            <w:tcBorders>
              <w:top w:val="single" w:sz="4" w:space="0" w:color="auto"/>
              <w:bottom w:val="single" w:sz="4" w:space="0" w:color="auto"/>
            </w:tcBorders>
          </w:tcPr>
          <w:p w14:paraId="72DD184B" w14:textId="77777777" w:rsidR="00C648C7" w:rsidRPr="000A3FCE" w:rsidRDefault="00C648C7" w:rsidP="00947335">
            <w:pPr>
              <w:spacing w:before="60" w:after="60"/>
              <w:rPr>
                <w:sz w:val="18"/>
                <w:szCs w:val="18"/>
              </w:rPr>
            </w:pPr>
            <w:r>
              <w:rPr>
                <w:sz w:val="18"/>
                <w:szCs w:val="18"/>
              </w:rPr>
              <w:t>Le respect de l’ensemble des contraintes fait l’objet d’une préoccupation systématique des parties concernées</w:t>
            </w:r>
          </w:p>
        </w:tc>
        <w:tc>
          <w:tcPr>
            <w:tcW w:w="2438" w:type="dxa"/>
            <w:tcBorders>
              <w:top w:val="single" w:sz="4" w:space="0" w:color="auto"/>
              <w:bottom w:val="single" w:sz="4" w:space="0" w:color="auto"/>
            </w:tcBorders>
          </w:tcPr>
          <w:p w14:paraId="26F9E68A" w14:textId="77777777" w:rsidR="00C648C7" w:rsidRPr="000A3FCE" w:rsidRDefault="00C648C7" w:rsidP="00947335">
            <w:pPr>
              <w:spacing w:before="60" w:after="60"/>
              <w:rPr>
                <w:sz w:val="18"/>
                <w:szCs w:val="18"/>
              </w:rPr>
            </w:pPr>
            <w:r>
              <w:rPr>
                <w:sz w:val="18"/>
                <w:szCs w:val="18"/>
              </w:rPr>
              <w:t>Un organe différent de celui qui a constitué la liste des AAV a validé sa faisabilité concrète</w:t>
            </w:r>
          </w:p>
        </w:tc>
      </w:tr>
    </w:tbl>
    <w:p w14:paraId="678CBD2B" w14:textId="6CB995EC" w:rsidR="00C648C7" w:rsidRDefault="00C648C7" w:rsidP="002733A6">
      <w:pPr>
        <w:spacing w:after="240"/>
        <w:rPr>
          <w:b/>
          <w:sz w:val="28"/>
        </w:rPr>
      </w:pPr>
    </w:p>
    <w:p w14:paraId="26B96517" w14:textId="77777777" w:rsidR="00C648C7" w:rsidRDefault="00C648C7">
      <w:pPr>
        <w:suppressAutoHyphens w:val="0"/>
        <w:rPr>
          <w:b/>
          <w:sz w:val="28"/>
        </w:rPr>
      </w:pPr>
      <w:r>
        <w:rPr>
          <w:b/>
          <w:sz w:val="28"/>
        </w:rPr>
        <w:br w:type="page"/>
      </w:r>
    </w:p>
    <w:p w14:paraId="4F5AE2BF" w14:textId="77777777" w:rsidR="00CD7F02" w:rsidRDefault="00CD7F02" w:rsidP="002733A6">
      <w:pPr>
        <w:spacing w:after="240"/>
        <w:rPr>
          <w:b/>
          <w:sz w:val="28"/>
        </w:rPr>
      </w:pPr>
    </w:p>
    <w:tbl>
      <w:tblPr>
        <w:tblStyle w:val="Grilledutableau"/>
        <w:tblW w:w="0" w:type="auto"/>
        <w:tblLook w:val="04A0" w:firstRow="1" w:lastRow="0" w:firstColumn="1" w:lastColumn="0" w:noHBand="0" w:noVBand="1"/>
      </w:tblPr>
      <w:tblGrid>
        <w:gridCol w:w="1701"/>
        <w:gridCol w:w="2438"/>
        <w:gridCol w:w="2438"/>
        <w:gridCol w:w="2438"/>
        <w:gridCol w:w="2438"/>
        <w:gridCol w:w="2438"/>
      </w:tblGrid>
      <w:tr w:rsidR="00C648C7" w:rsidRPr="000A3FCE" w14:paraId="540DC432" w14:textId="77777777" w:rsidTr="00947335">
        <w:trPr>
          <w:cantSplit/>
          <w:trHeight w:val="1134"/>
        </w:trPr>
        <w:tc>
          <w:tcPr>
            <w:tcW w:w="1701" w:type="dxa"/>
            <w:vMerge w:val="restart"/>
            <w:textDirection w:val="btLr"/>
            <w:vAlign w:val="center"/>
          </w:tcPr>
          <w:p w14:paraId="5D160E26" w14:textId="77777777" w:rsidR="00C648C7" w:rsidRPr="000A3FCE" w:rsidDel="00E04B56" w:rsidRDefault="00C648C7" w:rsidP="00947335">
            <w:pPr>
              <w:pStyle w:val="Paragraphedeliste"/>
              <w:spacing w:after="120"/>
              <w:ind w:left="227" w:right="113"/>
              <w:jc w:val="center"/>
              <w:rPr>
                <w:b/>
                <w:lang w:val="fr-BE"/>
              </w:rPr>
            </w:pPr>
            <w:r w:rsidRPr="009D4C58">
              <w:rPr>
                <w:b/>
                <w:sz w:val="24"/>
                <w:lang w:val="fr-BE"/>
              </w:rPr>
              <w:t>Structure</w:t>
            </w:r>
          </w:p>
        </w:tc>
        <w:tc>
          <w:tcPr>
            <w:tcW w:w="2438" w:type="dxa"/>
            <w:vAlign w:val="center"/>
          </w:tcPr>
          <w:p w14:paraId="3229A099" w14:textId="5C03460B" w:rsidR="00C648C7" w:rsidRPr="000A3FCE" w:rsidDel="00E04B56" w:rsidRDefault="00C648C7" w:rsidP="00947335">
            <w:pPr>
              <w:pStyle w:val="Paragraphedeliste"/>
              <w:numPr>
                <w:ilvl w:val="0"/>
                <w:numId w:val="51"/>
              </w:numPr>
              <w:spacing w:before="120" w:after="120"/>
              <w:ind w:left="227" w:hanging="284"/>
              <w:contextualSpacing w:val="0"/>
              <w:rPr>
                <w:b/>
                <w:i/>
                <w:iCs/>
                <w:color w:val="404040" w:themeColor="text1" w:themeTint="BF"/>
                <w:lang w:val="fr-BE"/>
              </w:rPr>
            </w:pPr>
            <w:r w:rsidRPr="000A3FCE">
              <w:rPr>
                <w:b/>
                <w:lang w:val="fr-BE"/>
              </w:rPr>
              <w:t>La liste est structurée en catégories d’acquis visés (cognitif</w:t>
            </w:r>
            <w:r w:rsidR="00F92B8E">
              <w:rPr>
                <w:b/>
                <w:lang w:val="fr-BE"/>
              </w:rPr>
              <w:t>s</w:t>
            </w:r>
            <w:r w:rsidRPr="000A3FCE">
              <w:rPr>
                <w:b/>
                <w:lang w:val="fr-BE"/>
              </w:rPr>
              <w:t>, affectif</w:t>
            </w:r>
            <w:r w:rsidR="00F92B8E">
              <w:rPr>
                <w:b/>
                <w:lang w:val="fr-BE"/>
              </w:rPr>
              <w:t>s</w:t>
            </w:r>
            <w:r w:rsidRPr="000A3FCE">
              <w:rPr>
                <w:b/>
                <w:lang w:val="fr-BE"/>
              </w:rPr>
              <w:t>, psychomoteur</w:t>
            </w:r>
            <w:r w:rsidR="00F92B8E">
              <w:rPr>
                <w:b/>
                <w:lang w:val="fr-BE"/>
              </w:rPr>
              <w:t>s</w:t>
            </w:r>
            <w:r w:rsidRPr="000A3FCE">
              <w:rPr>
                <w:b/>
                <w:lang w:val="fr-BE"/>
              </w:rPr>
              <w:t>, métacognitif</w:t>
            </w:r>
            <w:r w:rsidR="00F92B8E">
              <w:rPr>
                <w:b/>
                <w:lang w:val="fr-BE"/>
              </w:rPr>
              <w:t>s</w:t>
            </w:r>
            <w:r w:rsidRPr="000A3FCE">
              <w:rPr>
                <w:b/>
                <w:lang w:val="fr-BE"/>
              </w:rPr>
              <w:t>)</w:t>
            </w:r>
          </w:p>
        </w:tc>
        <w:tc>
          <w:tcPr>
            <w:tcW w:w="2438" w:type="dxa"/>
          </w:tcPr>
          <w:p w14:paraId="0202CA6E" w14:textId="77777777" w:rsidR="00C648C7" w:rsidRPr="00213C31" w:rsidRDefault="00C648C7" w:rsidP="00947335">
            <w:pPr>
              <w:pStyle w:val="Entry"/>
              <w:rPr>
                <w:szCs w:val="18"/>
              </w:rPr>
            </w:pPr>
            <w:r w:rsidRPr="00213C31">
              <w:rPr>
                <w:szCs w:val="18"/>
              </w:rPr>
              <w:t>La liste n’est pas structurée : les acquis visés ne sont pas classés en catégories</w:t>
            </w:r>
          </w:p>
          <w:p w14:paraId="401C7DF5" w14:textId="77777777" w:rsidR="00C648C7" w:rsidRPr="00213C31" w:rsidRDefault="00C648C7" w:rsidP="00947335">
            <w:pPr>
              <w:spacing w:before="60" w:after="60"/>
              <w:rPr>
                <w:sz w:val="18"/>
                <w:szCs w:val="18"/>
              </w:rPr>
            </w:pPr>
          </w:p>
        </w:tc>
        <w:tc>
          <w:tcPr>
            <w:tcW w:w="2438" w:type="dxa"/>
          </w:tcPr>
          <w:p w14:paraId="2018E8FD" w14:textId="77777777" w:rsidR="00C648C7" w:rsidRPr="00213C31" w:rsidRDefault="00C648C7" w:rsidP="00947335">
            <w:pPr>
              <w:spacing w:before="60" w:after="60"/>
              <w:rPr>
                <w:sz w:val="18"/>
                <w:szCs w:val="18"/>
              </w:rPr>
            </w:pPr>
            <w:r>
              <w:rPr>
                <w:sz w:val="18"/>
                <w:szCs w:val="18"/>
              </w:rPr>
              <w:t>La liste est structurée, mais la place de chaque AAV dans la structure n’est pas nécessairement évidente</w:t>
            </w:r>
          </w:p>
        </w:tc>
        <w:tc>
          <w:tcPr>
            <w:tcW w:w="2438" w:type="dxa"/>
          </w:tcPr>
          <w:p w14:paraId="76AEF93D" w14:textId="7BDE01A4" w:rsidR="00C648C7" w:rsidRPr="00213C31" w:rsidRDefault="00C648C7" w:rsidP="00947335">
            <w:pPr>
              <w:pStyle w:val="Entry"/>
              <w:rPr>
                <w:szCs w:val="18"/>
              </w:rPr>
            </w:pPr>
            <w:r w:rsidRPr="00213C31">
              <w:rPr>
                <w:szCs w:val="18"/>
              </w:rPr>
              <w:t xml:space="preserve">La liste </w:t>
            </w:r>
            <w:r>
              <w:rPr>
                <w:szCs w:val="18"/>
              </w:rPr>
              <w:t>est</w:t>
            </w:r>
            <w:r w:rsidRPr="00213C31">
              <w:rPr>
                <w:szCs w:val="18"/>
              </w:rPr>
              <w:t xml:space="preserve"> structuré</w:t>
            </w:r>
            <w:r>
              <w:rPr>
                <w:szCs w:val="18"/>
              </w:rPr>
              <w:t xml:space="preserve">e : les acquis visés sont </w:t>
            </w:r>
            <w:r w:rsidRPr="00213C31">
              <w:rPr>
                <w:szCs w:val="18"/>
              </w:rPr>
              <w:t>classés en catégories</w:t>
            </w:r>
            <w:r>
              <w:rPr>
                <w:szCs w:val="18"/>
              </w:rPr>
              <w:t xml:space="preserve"> bien définies et justifiées</w:t>
            </w:r>
          </w:p>
          <w:p w14:paraId="319C965E" w14:textId="77777777" w:rsidR="00C648C7" w:rsidRPr="00213C31" w:rsidRDefault="00C648C7" w:rsidP="00947335">
            <w:pPr>
              <w:pStyle w:val="Entry"/>
              <w:rPr>
                <w:szCs w:val="18"/>
              </w:rPr>
            </w:pPr>
          </w:p>
        </w:tc>
        <w:tc>
          <w:tcPr>
            <w:tcW w:w="2438" w:type="dxa"/>
          </w:tcPr>
          <w:p w14:paraId="5F415BB4" w14:textId="77777777" w:rsidR="00C648C7" w:rsidRPr="00213C31" w:rsidRDefault="00C648C7" w:rsidP="00947335">
            <w:pPr>
              <w:pStyle w:val="Entry"/>
              <w:rPr>
                <w:szCs w:val="18"/>
              </w:rPr>
            </w:pPr>
            <w:r>
              <w:rPr>
                <w:szCs w:val="18"/>
              </w:rPr>
              <w:t>La structure de la liste a été validée par un organe différent de celui qui a constitué la liste</w:t>
            </w:r>
          </w:p>
          <w:p w14:paraId="6967F423" w14:textId="77777777" w:rsidR="00C648C7" w:rsidRPr="00213C31" w:rsidRDefault="00C648C7" w:rsidP="00947335">
            <w:pPr>
              <w:spacing w:before="60" w:after="60"/>
              <w:rPr>
                <w:sz w:val="18"/>
                <w:szCs w:val="18"/>
              </w:rPr>
            </w:pPr>
          </w:p>
        </w:tc>
      </w:tr>
      <w:tr w:rsidR="00C648C7" w:rsidRPr="000A3FCE" w14:paraId="697F5D35" w14:textId="77777777" w:rsidTr="00947335">
        <w:trPr>
          <w:cantSplit/>
          <w:trHeight w:val="1134"/>
        </w:trPr>
        <w:tc>
          <w:tcPr>
            <w:tcW w:w="1701" w:type="dxa"/>
            <w:vMerge/>
            <w:textDirection w:val="btLr"/>
            <w:vAlign w:val="center"/>
          </w:tcPr>
          <w:p w14:paraId="2F2C9811" w14:textId="77777777" w:rsidR="00C648C7" w:rsidRPr="000A3FCE" w:rsidRDefault="00C648C7" w:rsidP="00947335">
            <w:pPr>
              <w:pStyle w:val="Paragraphedeliste"/>
              <w:spacing w:after="120"/>
              <w:ind w:left="227" w:right="113"/>
              <w:jc w:val="center"/>
              <w:rPr>
                <w:b/>
                <w:lang w:val="fr-BE"/>
              </w:rPr>
            </w:pPr>
          </w:p>
        </w:tc>
        <w:tc>
          <w:tcPr>
            <w:tcW w:w="2438" w:type="dxa"/>
            <w:vAlign w:val="center"/>
          </w:tcPr>
          <w:p w14:paraId="5CD29F36" w14:textId="77777777" w:rsidR="00C648C7" w:rsidRPr="000A3FCE" w:rsidRDefault="00C648C7" w:rsidP="00947335">
            <w:pPr>
              <w:pStyle w:val="Paragraphedeliste"/>
              <w:numPr>
                <w:ilvl w:val="0"/>
                <w:numId w:val="51"/>
              </w:numPr>
              <w:spacing w:before="120" w:after="120"/>
              <w:ind w:left="227" w:hanging="284"/>
              <w:contextualSpacing w:val="0"/>
              <w:rPr>
                <w:lang w:val="fr-BE"/>
              </w:rPr>
            </w:pPr>
            <w:r>
              <w:rPr>
                <w:b/>
                <w:lang w:val="fr-BE"/>
              </w:rPr>
              <w:t>La liste fait</w:t>
            </w:r>
            <w:r w:rsidRPr="000A3FCE">
              <w:rPr>
                <w:b/>
                <w:lang w:val="fr-BE"/>
              </w:rPr>
              <w:t xml:space="preserve"> la part entre AAV </w:t>
            </w:r>
            <w:r>
              <w:rPr>
                <w:b/>
                <w:lang w:val="fr-BE"/>
              </w:rPr>
              <w:t>essentiels</w:t>
            </w:r>
            <w:r w:rsidRPr="000A3FCE">
              <w:rPr>
                <w:b/>
                <w:lang w:val="fr-BE"/>
              </w:rPr>
              <w:t>, importants et utiles</w:t>
            </w:r>
          </w:p>
        </w:tc>
        <w:tc>
          <w:tcPr>
            <w:tcW w:w="2438" w:type="dxa"/>
          </w:tcPr>
          <w:p w14:paraId="1732CF0F" w14:textId="77777777" w:rsidR="00C648C7" w:rsidRPr="00213C31" w:rsidRDefault="00C648C7" w:rsidP="00947335">
            <w:pPr>
              <w:spacing w:before="60" w:after="60"/>
              <w:rPr>
                <w:sz w:val="18"/>
                <w:szCs w:val="18"/>
              </w:rPr>
            </w:pPr>
            <w:r w:rsidRPr="00213C31">
              <w:rPr>
                <w:sz w:val="18"/>
                <w:szCs w:val="18"/>
              </w:rPr>
              <w:t>La distinction n’est pas faite</w:t>
            </w:r>
          </w:p>
        </w:tc>
        <w:tc>
          <w:tcPr>
            <w:tcW w:w="2438" w:type="dxa"/>
          </w:tcPr>
          <w:p w14:paraId="133E3045" w14:textId="77777777" w:rsidR="00C648C7" w:rsidRPr="00213C31" w:rsidRDefault="00C648C7" w:rsidP="00947335">
            <w:pPr>
              <w:spacing w:before="60" w:after="60"/>
              <w:rPr>
                <w:sz w:val="18"/>
                <w:szCs w:val="18"/>
              </w:rPr>
            </w:pPr>
            <w:r w:rsidRPr="00213C31">
              <w:rPr>
                <w:sz w:val="18"/>
                <w:szCs w:val="18"/>
              </w:rPr>
              <w:t>La distinction n’apparaît pas suffisamment clairement</w:t>
            </w:r>
          </w:p>
        </w:tc>
        <w:tc>
          <w:tcPr>
            <w:tcW w:w="2438" w:type="dxa"/>
          </w:tcPr>
          <w:p w14:paraId="53CE74EC" w14:textId="77777777" w:rsidR="00C648C7" w:rsidRPr="00213C31" w:rsidRDefault="00C648C7" w:rsidP="00947335">
            <w:pPr>
              <w:spacing w:before="60" w:after="60"/>
              <w:rPr>
                <w:sz w:val="18"/>
                <w:szCs w:val="18"/>
              </w:rPr>
            </w:pPr>
            <w:r>
              <w:rPr>
                <w:sz w:val="18"/>
                <w:szCs w:val="18"/>
              </w:rPr>
              <w:t>Chaque AAV est systématiquement caractérisé selon son type essentiel, important ou utile</w:t>
            </w:r>
          </w:p>
        </w:tc>
        <w:tc>
          <w:tcPr>
            <w:tcW w:w="2438" w:type="dxa"/>
          </w:tcPr>
          <w:p w14:paraId="326861DE" w14:textId="77777777" w:rsidR="00C648C7" w:rsidRPr="00213C31" w:rsidRDefault="00C648C7" w:rsidP="00947335">
            <w:pPr>
              <w:pStyle w:val="Entry"/>
              <w:rPr>
                <w:szCs w:val="18"/>
              </w:rPr>
            </w:pPr>
            <w:r>
              <w:rPr>
                <w:szCs w:val="18"/>
              </w:rPr>
              <w:t>La distinction entre AAV essentiels, importants et utiles a été validée par un organe différent de celui qui a constitué la liste</w:t>
            </w:r>
          </w:p>
        </w:tc>
      </w:tr>
      <w:tr w:rsidR="00C648C7" w:rsidRPr="000A3FCE" w14:paraId="2D167E9F" w14:textId="77777777" w:rsidTr="00947335">
        <w:trPr>
          <w:cantSplit/>
          <w:trHeight w:val="1134"/>
        </w:trPr>
        <w:tc>
          <w:tcPr>
            <w:tcW w:w="1701" w:type="dxa"/>
            <w:vMerge/>
            <w:textDirection w:val="btLr"/>
            <w:vAlign w:val="center"/>
          </w:tcPr>
          <w:p w14:paraId="5627B91B" w14:textId="77777777" w:rsidR="00C648C7" w:rsidRPr="000A3FCE" w:rsidRDefault="00C648C7" w:rsidP="00947335">
            <w:pPr>
              <w:pStyle w:val="Paragraphedeliste"/>
              <w:spacing w:before="120" w:after="120"/>
              <w:ind w:left="227" w:right="113"/>
              <w:rPr>
                <w:b/>
                <w:lang w:val="fr-BE"/>
              </w:rPr>
            </w:pPr>
          </w:p>
        </w:tc>
        <w:tc>
          <w:tcPr>
            <w:tcW w:w="2438" w:type="dxa"/>
            <w:vAlign w:val="center"/>
          </w:tcPr>
          <w:p w14:paraId="4CF52E81" w14:textId="77777777" w:rsidR="00C648C7" w:rsidRPr="000A3FCE" w:rsidRDefault="00C648C7" w:rsidP="00947335">
            <w:pPr>
              <w:pStyle w:val="Paragraphedeliste"/>
              <w:numPr>
                <w:ilvl w:val="0"/>
                <w:numId w:val="51"/>
              </w:numPr>
              <w:spacing w:before="120" w:after="120"/>
              <w:ind w:left="227" w:hanging="284"/>
              <w:contextualSpacing w:val="0"/>
              <w:rPr>
                <w:b/>
                <w:lang w:val="fr-BE"/>
              </w:rPr>
            </w:pPr>
            <w:r>
              <w:rPr>
                <w:b/>
                <w:lang w:val="fr-BE"/>
              </w:rPr>
              <w:t>La liste fait</w:t>
            </w:r>
            <w:r w:rsidRPr="000A3FCE">
              <w:rPr>
                <w:b/>
                <w:lang w:val="fr-BE"/>
              </w:rPr>
              <w:t xml:space="preserve"> la distinction entre acquis disciplinaires</w:t>
            </w:r>
            <w:r>
              <w:rPr>
                <w:b/>
                <w:lang w:val="fr-BE"/>
              </w:rPr>
              <w:t>, généraux</w:t>
            </w:r>
            <w:r w:rsidRPr="000A3FCE">
              <w:rPr>
                <w:b/>
                <w:lang w:val="fr-BE"/>
              </w:rPr>
              <w:t xml:space="preserve"> et transversaux</w:t>
            </w:r>
          </w:p>
        </w:tc>
        <w:tc>
          <w:tcPr>
            <w:tcW w:w="2438" w:type="dxa"/>
          </w:tcPr>
          <w:p w14:paraId="7505E1B4" w14:textId="77777777" w:rsidR="00C648C7" w:rsidRPr="00213C31" w:rsidRDefault="00C648C7" w:rsidP="00947335">
            <w:pPr>
              <w:spacing w:before="60" w:after="60"/>
              <w:rPr>
                <w:sz w:val="18"/>
                <w:szCs w:val="18"/>
              </w:rPr>
            </w:pPr>
            <w:r w:rsidRPr="00213C31">
              <w:rPr>
                <w:sz w:val="18"/>
                <w:szCs w:val="18"/>
              </w:rPr>
              <w:t>La distinction n’est pas faite</w:t>
            </w:r>
          </w:p>
        </w:tc>
        <w:tc>
          <w:tcPr>
            <w:tcW w:w="2438" w:type="dxa"/>
          </w:tcPr>
          <w:p w14:paraId="7DB0A43B" w14:textId="77777777" w:rsidR="00C648C7" w:rsidRPr="00213C31" w:rsidRDefault="00C648C7" w:rsidP="00947335">
            <w:pPr>
              <w:spacing w:before="60" w:after="60"/>
              <w:rPr>
                <w:sz w:val="18"/>
                <w:szCs w:val="18"/>
              </w:rPr>
            </w:pPr>
            <w:r w:rsidRPr="00213C31">
              <w:rPr>
                <w:sz w:val="18"/>
                <w:szCs w:val="18"/>
              </w:rPr>
              <w:t>La distinction n’apparaît pas suffisamment clairement</w:t>
            </w:r>
          </w:p>
        </w:tc>
        <w:tc>
          <w:tcPr>
            <w:tcW w:w="2438" w:type="dxa"/>
          </w:tcPr>
          <w:p w14:paraId="7C9976B9" w14:textId="77777777" w:rsidR="00C648C7" w:rsidRPr="00213C31" w:rsidRDefault="00C648C7" w:rsidP="00947335">
            <w:pPr>
              <w:spacing w:before="60" w:after="60"/>
              <w:rPr>
                <w:sz w:val="18"/>
                <w:szCs w:val="18"/>
              </w:rPr>
            </w:pPr>
            <w:r>
              <w:rPr>
                <w:sz w:val="18"/>
                <w:szCs w:val="18"/>
              </w:rPr>
              <w:t>La liste est structurée selon les types transversaux, généraux ou spécifiques</w:t>
            </w:r>
          </w:p>
        </w:tc>
        <w:tc>
          <w:tcPr>
            <w:tcW w:w="2438" w:type="dxa"/>
          </w:tcPr>
          <w:p w14:paraId="266C8AD3" w14:textId="77777777" w:rsidR="00C648C7" w:rsidRPr="00213C31" w:rsidRDefault="00C648C7" w:rsidP="00947335">
            <w:pPr>
              <w:spacing w:before="60" w:after="60"/>
              <w:rPr>
                <w:sz w:val="18"/>
                <w:szCs w:val="18"/>
              </w:rPr>
            </w:pPr>
            <w:r w:rsidRPr="007C263D">
              <w:rPr>
                <w:sz w:val="18"/>
                <w:szCs w:val="18"/>
              </w:rPr>
              <w:t xml:space="preserve">La distinction entre AAV </w:t>
            </w:r>
            <w:r>
              <w:rPr>
                <w:sz w:val="18"/>
                <w:szCs w:val="18"/>
              </w:rPr>
              <w:t xml:space="preserve">transversaux, généraux et spécifiques </w:t>
            </w:r>
            <w:r w:rsidRPr="007C263D">
              <w:rPr>
                <w:sz w:val="18"/>
                <w:szCs w:val="18"/>
              </w:rPr>
              <w:t>a été validée par un organe différent de celui qui a constitué la liste</w:t>
            </w:r>
          </w:p>
        </w:tc>
      </w:tr>
      <w:tr w:rsidR="00C648C7" w:rsidRPr="000A3FCE" w14:paraId="60B0746C" w14:textId="77777777" w:rsidTr="00947335">
        <w:trPr>
          <w:cantSplit/>
          <w:trHeight w:val="1134"/>
        </w:trPr>
        <w:tc>
          <w:tcPr>
            <w:tcW w:w="1701" w:type="dxa"/>
            <w:vMerge/>
            <w:textDirection w:val="btLr"/>
            <w:vAlign w:val="center"/>
          </w:tcPr>
          <w:p w14:paraId="5304558E" w14:textId="77777777" w:rsidR="00C648C7" w:rsidRPr="000A3FCE" w:rsidRDefault="00C648C7" w:rsidP="00947335">
            <w:pPr>
              <w:pStyle w:val="Paragraphedeliste"/>
              <w:spacing w:before="120" w:after="120"/>
              <w:ind w:left="227" w:right="113"/>
              <w:rPr>
                <w:b/>
                <w:lang w:val="fr-BE"/>
              </w:rPr>
            </w:pPr>
          </w:p>
        </w:tc>
        <w:tc>
          <w:tcPr>
            <w:tcW w:w="2438" w:type="dxa"/>
            <w:vAlign w:val="center"/>
          </w:tcPr>
          <w:p w14:paraId="6853007A" w14:textId="08D7B9CB" w:rsidR="00C648C7" w:rsidRPr="000A3FCE" w:rsidDel="00E04B56" w:rsidRDefault="00C648C7" w:rsidP="00947335">
            <w:pPr>
              <w:pStyle w:val="Paragraphedeliste"/>
              <w:numPr>
                <w:ilvl w:val="0"/>
                <w:numId w:val="51"/>
              </w:numPr>
              <w:spacing w:before="120" w:after="120"/>
              <w:ind w:left="227" w:hanging="284"/>
              <w:contextualSpacing w:val="0"/>
              <w:rPr>
                <w:b/>
                <w:i/>
                <w:iCs/>
                <w:color w:val="404040" w:themeColor="text1" w:themeTint="BF"/>
                <w:lang w:val="fr-BE"/>
              </w:rPr>
            </w:pPr>
            <w:r>
              <w:rPr>
                <w:b/>
                <w:lang w:val="fr-BE"/>
              </w:rPr>
              <w:t>La distinction</w:t>
            </w:r>
            <w:r w:rsidRPr="000A3FCE">
              <w:rPr>
                <w:b/>
                <w:lang w:val="fr-BE"/>
              </w:rPr>
              <w:t xml:space="preserve"> entre les acquis des différents niveaux (</w:t>
            </w:r>
            <w:proofErr w:type="spellStart"/>
            <w:r>
              <w:rPr>
                <w:b/>
                <w:lang w:val="fr-BE"/>
              </w:rPr>
              <w:t>bachel</w:t>
            </w:r>
            <w:r w:rsidR="00F92B8E">
              <w:rPr>
                <w:b/>
                <w:lang w:val="fr-BE"/>
              </w:rPr>
              <w:t>o</w:t>
            </w:r>
            <w:r>
              <w:rPr>
                <w:b/>
                <w:lang w:val="fr-BE"/>
              </w:rPr>
              <w:t>r</w:t>
            </w:r>
            <w:proofErr w:type="spellEnd"/>
            <w:r>
              <w:rPr>
                <w:b/>
                <w:lang w:val="fr-BE"/>
              </w:rPr>
              <w:t xml:space="preserve"> et master) apparait</w:t>
            </w:r>
            <w:r w:rsidRPr="000A3FCE">
              <w:rPr>
                <w:b/>
                <w:lang w:val="fr-BE"/>
              </w:rPr>
              <w:t xml:space="preserve"> clairement</w:t>
            </w:r>
          </w:p>
        </w:tc>
        <w:tc>
          <w:tcPr>
            <w:tcW w:w="2438" w:type="dxa"/>
          </w:tcPr>
          <w:p w14:paraId="534624A2" w14:textId="77777777" w:rsidR="00C648C7" w:rsidRPr="00213C31" w:rsidRDefault="00C648C7" w:rsidP="00947335">
            <w:pPr>
              <w:spacing w:before="60" w:after="60"/>
              <w:rPr>
                <w:sz w:val="18"/>
                <w:szCs w:val="18"/>
              </w:rPr>
            </w:pPr>
            <w:r w:rsidRPr="00213C31">
              <w:rPr>
                <w:sz w:val="18"/>
                <w:szCs w:val="18"/>
              </w:rPr>
              <w:t>La distinction n’est pas faite</w:t>
            </w:r>
          </w:p>
        </w:tc>
        <w:tc>
          <w:tcPr>
            <w:tcW w:w="2438" w:type="dxa"/>
          </w:tcPr>
          <w:p w14:paraId="44F82C4C" w14:textId="79918B50" w:rsidR="00C648C7" w:rsidRPr="00213C31" w:rsidRDefault="00C648C7" w:rsidP="00947335">
            <w:pPr>
              <w:spacing w:before="60" w:after="60"/>
              <w:rPr>
                <w:sz w:val="18"/>
                <w:szCs w:val="18"/>
              </w:rPr>
            </w:pPr>
            <w:r>
              <w:rPr>
                <w:sz w:val="18"/>
                <w:szCs w:val="18"/>
              </w:rPr>
              <w:t>La</w:t>
            </w:r>
            <w:r w:rsidRPr="00213C31">
              <w:rPr>
                <w:sz w:val="18"/>
                <w:szCs w:val="18"/>
              </w:rPr>
              <w:t xml:space="preserve"> distinction entre les niveaux </w:t>
            </w:r>
            <w:proofErr w:type="spellStart"/>
            <w:r w:rsidRPr="00213C31">
              <w:rPr>
                <w:sz w:val="18"/>
                <w:szCs w:val="18"/>
              </w:rPr>
              <w:t>bachel</w:t>
            </w:r>
            <w:r w:rsidR="00F92B8E">
              <w:rPr>
                <w:sz w:val="18"/>
                <w:szCs w:val="18"/>
              </w:rPr>
              <w:t>or</w:t>
            </w:r>
            <w:proofErr w:type="spellEnd"/>
            <w:r w:rsidRPr="00213C31">
              <w:rPr>
                <w:sz w:val="18"/>
                <w:szCs w:val="18"/>
              </w:rPr>
              <w:t xml:space="preserve"> et master n’apparaît pas suffisamment clairement </w:t>
            </w:r>
          </w:p>
        </w:tc>
        <w:tc>
          <w:tcPr>
            <w:tcW w:w="2438" w:type="dxa"/>
          </w:tcPr>
          <w:p w14:paraId="7FC84A74" w14:textId="52386D1C" w:rsidR="00C648C7" w:rsidRPr="00213C31" w:rsidRDefault="00C648C7" w:rsidP="00947335">
            <w:pPr>
              <w:spacing w:before="60" w:after="60"/>
              <w:rPr>
                <w:sz w:val="18"/>
                <w:szCs w:val="18"/>
              </w:rPr>
            </w:pPr>
            <w:r>
              <w:rPr>
                <w:sz w:val="18"/>
                <w:szCs w:val="18"/>
              </w:rPr>
              <w:t xml:space="preserve">La liste est structurée en fonction des niveaux </w:t>
            </w:r>
            <w:proofErr w:type="spellStart"/>
            <w:r>
              <w:rPr>
                <w:sz w:val="18"/>
                <w:szCs w:val="18"/>
              </w:rPr>
              <w:t>bachel</w:t>
            </w:r>
            <w:r w:rsidR="00F92B8E">
              <w:rPr>
                <w:sz w:val="18"/>
                <w:szCs w:val="18"/>
              </w:rPr>
              <w:t>or</w:t>
            </w:r>
            <w:proofErr w:type="spellEnd"/>
            <w:r>
              <w:rPr>
                <w:sz w:val="18"/>
                <w:szCs w:val="18"/>
              </w:rPr>
              <w:t xml:space="preserve"> et master et cette distinction apparaît clairement</w:t>
            </w:r>
          </w:p>
        </w:tc>
        <w:tc>
          <w:tcPr>
            <w:tcW w:w="2438" w:type="dxa"/>
          </w:tcPr>
          <w:p w14:paraId="41DD4518" w14:textId="77777777" w:rsidR="00C648C7" w:rsidRPr="00A83D46" w:rsidRDefault="00C648C7" w:rsidP="00947335">
            <w:pPr>
              <w:spacing w:before="60" w:after="60"/>
              <w:rPr>
                <w:sz w:val="18"/>
                <w:szCs w:val="18"/>
              </w:rPr>
            </w:pPr>
            <w:r w:rsidRPr="007C263D">
              <w:rPr>
                <w:sz w:val="18"/>
                <w:szCs w:val="18"/>
              </w:rPr>
              <w:t>La structure de la liste a été validée par un organe différent de celui qui a constitué la liste</w:t>
            </w:r>
          </w:p>
        </w:tc>
      </w:tr>
      <w:tr w:rsidR="00C648C7" w:rsidRPr="000A3FCE" w14:paraId="5B034C0F" w14:textId="77777777" w:rsidTr="00947335">
        <w:trPr>
          <w:cantSplit/>
          <w:trHeight w:val="1134"/>
        </w:trPr>
        <w:tc>
          <w:tcPr>
            <w:tcW w:w="1701" w:type="dxa"/>
            <w:vMerge/>
            <w:textDirection w:val="btLr"/>
            <w:vAlign w:val="center"/>
          </w:tcPr>
          <w:p w14:paraId="6C6F30BE" w14:textId="77777777" w:rsidR="00C648C7" w:rsidRPr="000A3FCE" w:rsidRDefault="00C648C7" w:rsidP="00947335">
            <w:pPr>
              <w:pStyle w:val="Paragraphedeliste"/>
              <w:spacing w:before="120" w:after="120"/>
              <w:ind w:left="227" w:right="113"/>
              <w:rPr>
                <w:b/>
                <w:lang w:val="fr-BE"/>
              </w:rPr>
            </w:pPr>
          </w:p>
        </w:tc>
        <w:tc>
          <w:tcPr>
            <w:tcW w:w="2438" w:type="dxa"/>
            <w:vAlign w:val="center"/>
          </w:tcPr>
          <w:p w14:paraId="00ADDD3E" w14:textId="77777777" w:rsidR="00C648C7" w:rsidRPr="000A3FCE" w:rsidRDefault="00C648C7" w:rsidP="00947335">
            <w:pPr>
              <w:pStyle w:val="Paragraphedeliste"/>
              <w:numPr>
                <w:ilvl w:val="0"/>
                <w:numId w:val="51"/>
              </w:numPr>
              <w:spacing w:before="120" w:after="120"/>
              <w:ind w:left="227" w:hanging="284"/>
              <w:contextualSpacing w:val="0"/>
              <w:rPr>
                <w:b/>
                <w:i/>
                <w:iCs/>
                <w:color w:val="404040" w:themeColor="text1" w:themeTint="BF"/>
                <w:lang w:val="fr-BE"/>
              </w:rPr>
            </w:pPr>
            <w:r>
              <w:rPr>
                <w:b/>
                <w:lang w:val="fr-BE"/>
              </w:rPr>
              <w:t>La liste distingue clairement les activités et les acquis visés par ces activités</w:t>
            </w:r>
          </w:p>
        </w:tc>
        <w:tc>
          <w:tcPr>
            <w:tcW w:w="2438" w:type="dxa"/>
          </w:tcPr>
          <w:p w14:paraId="290D3C83" w14:textId="77777777" w:rsidR="00C648C7" w:rsidRPr="00213C31" w:rsidRDefault="00C648C7" w:rsidP="00947335">
            <w:pPr>
              <w:spacing w:before="60" w:after="60"/>
              <w:rPr>
                <w:sz w:val="18"/>
                <w:szCs w:val="18"/>
              </w:rPr>
            </w:pPr>
            <w:r>
              <w:rPr>
                <w:sz w:val="18"/>
                <w:szCs w:val="18"/>
              </w:rPr>
              <w:t>La formulation ne fait pas la distinction entre contenu d’une activité et acquis visés par l’activité</w:t>
            </w:r>
          </w:p>
        </w:tc>
        <w:tc>
          <w:tcPr>
            <w:tcW w:w="2438" w:type="dxa"/>
          </w:tcPr>
          <w:p w14:paraId="7BD72EC6" w14:textId="77777777" w:rsidR="00C648C7" w:rsidRPr="00213C31" w:rsidRDefault="00C648C7" w:rsidP="00947335">
            <w:pPr>
              <w:spacing w:before="60" w:after="60"/>
              <w:rPr>
                <w:sz w:val="18"/>
                <w:szCs w:val="18"/>
              </w:rPr>
            </w:pPr>
            <w:r w:rsidRPr="00213C31">
              <w:rPr>
                <w:sz w:val="18"/>
                <w:szCs w:val="18"/>
              </w:rPr>
              <w:t xml:space="preserve">On confond </w:t>
            </w:r>
            <w:r>
              <w:rPr>
                <w:sz w:val="18"/>
                <w:szCs w:val="18"/>
              </w:rPr>
              <w:t>parfois</w:t>
            </w:r>
            <w:r w:rsidRPr="00213C31">
              <w:rPr>
                <w:sz w:val="18"/>
                <w:szCs w:val="18"/>
              </w:rPr>
              <w:t xml:space="preserve"> les activités (p. ex. : faire un stage) et les acquis visés par ces activités (p. ex. : appliquer les concepts appris au cours dans un cadre professionnel</w:t>
            </w:r>
            <w:r>
              <w:rPr>
                <w:sz w:val="18"/>
                <w:szCs w:val="18"/>
              </w:rPr>
              <w:t>)</w:t>
            </w:r>
          </w:p>
        </w:tc>
        <w:tc>
          <w:tcPr>
            <w:tcW w:w="2438" w:type="dxa"/>
          </w:tcPr>
          <w:p w14:paraId="092A6EB0" w14:textId="77777777" w:rsidR="00C648C7" w:rsidRPr="00213C31" w:rsidRDefault="00C648C7" w:rsidP="00947335">
            <w:pPr>
              <w:spacing w:before="60" w:after="60"/>
              <w:rPr>
                <w:sz w:val="18"/>
                <w:szCs w:val="18"/>
              </w:rPr>
            </w:pPr>
            <w:r>
              <w:rPr>
                <w:sz w:val="18"/>
                <w:szCs w:val="18"/>
              </w:rPr>
              <w:t>Pour la plupart des activités, la distinction entre contenu de l’activité et AAV est nette</w:t>
            </w:r>
          </w:p>
        </w:tc>
        <w:tc>
          <w:tcPr>
            <w:tcW w:w="2438" w:type="dxa"/>
          </w:tcPr>
          <w:p w14:paraId="3BE4FE79" w14:textId="77777777" w:rsidR="00C648C7" w:rsidRPr="00213C31" w:rsidRDefault="00C648C7" w:rsidP="00947335">
            <w:pPr>
              <w:spacing w:before="60" w:after="60"/>
              <w:rPr>
                <w:sz w:val="18"/>
                <w:szCs w:val="18"/>
              </w:rPr>
            </w:pPr>
            <w:r>
              <w:rPr>
                <w:sz w:val="18"/>
                <w:szCs w:val="18"/>
              </w:rPr>
              <w:t>Il n’y a aucune confusion entre le contenu d’une activité et les acquis qu’elle vise</w:t>
            </w:r>
          </w:p>
        </w:tc>
      </w:tr>
    </w:tbl>
    <w:p w14:paraId="02478680" w14:textId="4D7CF41D" w:rsidR="00C648C7" w:rsidRDefault="00C648C7" w:rsidP="002733A6">
      <w:pPr>
        <w:spacing w:after="240"/>
        <w:rPr>
          <w:b/>
          <w:sz w:val="28"/>
        </w:rPr>
      </w:pPr>
    </w:p>
    <w:p w14:paraId="4DADE2D0" w14:textId="77777777" w:rsidR="00C648C7" w:rsidRDefault="00C648C7">
      <w:pPr>
        <w:suppressAutoHyphens w:val="0"/>
        <w:rPr>
          <w:b/>
          <w:sz w:val="28"/>
        </w:rPr>
      </w:pPr>
      <w:r>
        <w:rPr>
          <w:b/>
          <w:sz w:val="28"/>
        </w:rPr>
        <w:br w:type="page"/>
      </w:r>
    </w:p>
    <w:p w14:paraId="786172C5" w14:textId="77777777" w:rsidR="00C648C7" w:rsidRDefault="00C648C7" w:rsidP="002733A6">
      <w:pPr>
        <w:spacing w:after="240"/>
        <w:rPr>
          <w:b/>
          <w:sz w:val="28"/>
        </w:rPr>
      </w:pPr>
    </w:p>
    <w:tbl>
      <w:tblPr>
        <w:tblStyle w:val="Grilledutableau"/>
        <w:tblW w:w="0" w:type="auto"/>
        <w:tblLook w:val="04A0" w:firstRow="1" w:lastRow="0" w:firstColumn="1" w:lastColumn="0" w:noHBand="0" w:noVBand="1"/>
      </w:tblPr>
      <w:tblGrid>
        <w:gridCol w:w="1701"/>
        <w:gridCol w:w="2438"/>
        <w:gridCol w:w="2438"/>
        <w:gridCol w:w="2438"/>
        <w:gridCol w:w="2438"/>
        <w:gridCol w:w="2438"/>
      </w:tblGrid>
      <w:tr w:rsidR="00C648C7" w:rsidRPr="000A3FCE" w14:paraId="41951F4E" w14:textId="77777777" w:rsidTr="00947335">
        <w:trPr>
          <w:cantSplit/>
          <w:trHeight w:val="1134"/>
        </w:trPr>
        <w:tc>
          <w:tcPr>
            <w:tcW w:w="1701" w:type="dxa"/>
            <w:vMerge w:val="restart"/>
            <w:textDirection w:val="btLr"/>
            <w:vAlign w:val="center"/>
          </w:tcPr>
          <w:p w14:paraId="11507936" w14:textId="77777777" w:rsidR="00C648C7" w:rsidRPr="000A3FCE" w:rsidRDefault="00C648C7" w:rsidP="00947335">
            <w:pPr>
              <w:pStyle w:val="Paragraphedeliste"/>
              <w:spacing w:after="120"/>
              <w:ind w:left="227" w:right="113"/>
              <w:jc w:val="center"/>
              <w:rPr>
                <w:b/>
                <w:lang w:val="fr-BE"/>
              </w:rPr>
            </w:pPr>
            <w:r w:rsidRPr="009D4C58">
              <w:rPr>
                <w:b/>
                <w:sz w:val="24"/>
                <w:lang w:val="fr-BE"/>
              </w:rPr>
              <w:t>Références</w:t>
            </w:r>
          </w:p>
        </w:tc>
        <w:tc>
          <w:tcPr>
            <w:tcW w:w="2438" w:type="dxa"/>
            <w:vAlign w:val="center"/>
          </w:tcPr>
          <w:p w14:paraId="5746C809" w14:textId="77777777" w:rsidR="00C648C7" w:rsidRPr="000A3FCE" w:rsidRDefault="00C648C7" w:rsidP="00947335">
            <w:pPr>
              <w:pStyle w:val="Paragraphedeliste"/>
              <w:numPr>
                <w:ilvl w:val="0"/>
                <w:numId w:val="51"/>
              </w:numPr>
              <w:spacing w:before="120" w:after="120"/>
              <w:ind w:left="227" w:hanging="284"/>
              <w:contextualSpacing w:val="0"/>
              <w:rPr>
                <w:lang w:val="fr-BE"/>
              </w:rPr>
            </w:pPr>
            <w:r>
              <w:rPr>
                <w:b/>
                <w:lang w:val="fr-BE"/>
              </w:rPr>
              <w:t>La liste prend</w:t>
            </w:r>
            <w:r w:rsidRPr="000A3FCE">
              <w:rPr>
                <w:b/>
                <w:lang w:val="fr-BE"/>
              </w:rPr>
              <w:t xml:space="preserve"> en compte les AAV qui découlent des valeurs de l’institution</w:t>
            </w:r>
          </w:p>
        </w:tc>
        <w:tc>
          <w:tcPr>
            <w:tcW w:w="2438" w:type="dxa"/>
          </w:tcPr>
          <w:p w14:paraId="5174DCAE" w14:textId="77777777" w:rsidR="00C648C7" w:rsidRPr="00213C31" w:rsidRDefault="00C648C7" w:rsidP="00947335">
            <w:pPr>
              <w:spacing w:before="60" w:after="60"/>
              <w:rPr>
                <w:sz w:val="18"/>
                <w:szCs w:val="18"/>
              </w:rPr>
            </w:pPr>
            <w:r w:rsidRPr="00213C31">
              <w:rPr>
                <w:sz w:val="18"/>
                <w:szCs w:val="18"/>
              </w:rPr>
              <w:t xml:space="preserve">La liste ne tient pas compte des </w:t>
            </w:r>
            <w:r>
              <w:rPr>
                <w:sz w:val="18"/>
                <w:szCs w:val="18"/>
              </w:rPr>
              <w:t>valeurs</w:t>
            </w:r>
            <w:r w:rsidRPr="00213C31">
              <w:rPr>
                <w:sz w:val="18"/>
                <w:szCs w:val="18"/>
              </w:rPr>
              <w:t xml:space="preserve"> de l’institution</w:t>
            </w:r>
          </w:p>
        </w:tc>
        <w:tc>
          <w:tcPr>
            <w:tcW w:w="2438" w:type="dxa"/>
          </w:tcPr>
          <w:p w14:paraId="0B42F022" w14:textId="77777777" w:rsidR="00C648C7" w:rsidRPr="00213C31" w:rsidRDefault="00C648C7" w:rsidP="00947335">
            <w:pPr>
              <w:spacing w:before="60" w:after="60"/>
              <w:rPr>
                <w:sz w:val="18"/>
                <w:szCs w:val="18"/>
              </w:rPr>
            </w:pPr>
            <w:r w:rsidRPr="00213C31">
              <w:rPr>
                <w:sz w:val="18"/>
                <w:szCs w:val="18"/>
              </w:rPr>
              <w:t xml:space="preserve">Certains AAV </w:t>
            </w:r>
            <w:r>
              <w:rPr>
                <w:sz w:val="18"/>
                <w:szCs w:val="18"/>
              </w:rPr>
              <w:t xml:space="preserve">en rapport avec les valeurs </w:t>
            </w:r>
            <w:r w:rsidRPr="00213C31">
              <w:rPr>
                <w:sz w:val="18"/>
                <w:szCs w:val="18"/>
              </w:rPr>
              <w:t>propres à l’institution sont omis</w:t>
            </w:r>
          </w:p>
        </w:tc>
        <w:tc>
          <w:tcPr>
            <w:tcW w:w="2438" w:type="dxa"/>
          </w:tcPr>
          <w:p w14:paraId="2202F190" w14:textId="77777777" w:rsidR="00C648C7" w:rsidRPr="00213C31" w:rsidRDefault="00C648C7" w:rsidP="00947335">
            <w:pPr>
              <w:spacing w:before="60" w:after="60"/>
              <w:rPr>
                <w:sz w:val="18"/>
                <w:szCs w:val="18"/>
              </w:rPr>
            </w:pPr>
            <w:r w:rsidRPr="00213C31">
              <w:rPr>
                <w:sz w:val="18"/>
                <w:szCs w:val="18"/>
              </w:rPr>
              <w:t xml:space="preserve">La liste contient tous les AAV </w:t>
            </w:r>
            <w:r>
              <w:rPr>
                <w:sz w:val="18"/>
                <w:szCs w:val="18"/>
              </w:rPr>
              <w:t xml:space="preserve">qui découlent des valeurs </w:t>
            </w:r>
            <w:r w:rsidRPr="00213C31">
              <w:rPr>
                <w:sz w:val="18"/>
                <w:szCs w:val="18"/>
              </w:rPr>
              <w:t>propres à l</w:t>
            </w:r>
            <w:r>
              <w:rPr>
                <w:sz w:val="18"/>
                <w:szCs w:val="18"/>
              </w:rPr>
              <w:t>’</w:t>
            </w:r>
            <w:r w:rsidRPr="00213C31">
              <w:rPr>
                <w:sz w:val="18"/>
                <w:szCs w:val="18"/>
              </w:rPr>
              <w:t>institution</w:t>
            </w:r>
          </w:p>
        </w:tc>
        <w:tc>
          <w:tcPr>
            <w:tcW w:w="2438" w:type="dxa"/>
          </w:tcPr>
          <w:p w14:paraId="65F9F767" w14:textId="77777777" w:rsidR="00C648C7" w:rsidRPr="00213C31" w:rsidRDefault="00C648C7" w:rsidP="00947335">
            <w:pPr>
              <w:spacing w:before="60" w:after="60"/>
              <w:rPr>
                <w:sz w:val="18"/>
                <w:szCs w:val="18"/>
              </w:rPr>
            </w:pPr>
            <w:r>
              <w:rPr>
                <w:sz w:val="18"/>
                <w:szCs w:val="18"/>
              </w:rPr>
              <w:t>Chaque AAV de l</w:t>
            </w:r>
            <w:r w:rsidRPr="00213C31">
              <w:rPr>
                <w:sz w:val="18"/>
                <w:szCs w:val="18"/>
              </w:rPr>
              <w:t xml:space="preserve">a liste fait explicitement référence aux </w:t>
            </w:r>
            <w:r>
              <w:rPr>
                <w:sz w:val="18"/>
                <w:szCs w:val="18"/>
              </w:rPr>
              <w:t>valeurs</w:t>
            </w:r>
            <w:r w:rsidRPr="00213C31">
              <w:rPr>
                <w:sz w:val="18"/>
                <w:szCs w:val="18"/>
              </w:rPr>
              <w:t xml:space="preserve"> propres à l</w:t>
            </w:r>
            <w:r>
              <w:rPr>
                <w:sz w:val="18"/>
                <w:szCs w:val="18"/>
              </w:rPr>
              <w:t>’</w:t>
            </w:r>
            <w:r w:rsidRPr="00213C31">
              <w:rPr>
                <w:sz w:val="18"/>
                <w:szCs w:val="18"/>
              </w:rPr>
              <w:t>institution</w:t>
            </w:r>
          </w:p>
        </w:tc>
      </w:tr>
      <w:tr w:rsidR="00C648C7" w:rsidRPr="000A3FCE" w14:paraId="3C4C2EF3" w14:textId="77777777" w:rsidTr="00947335">
        <w:trPr>
          <w:cantSplit/>
          <w:trHeight w:val="1134"/>
        </w:trPr>
        <w:tc>
          <w:tcPr>
            <w:tcW w:w="1701" w:type="dxa"/>
            <w:vMerge/>
            <w:textDirection w:val="btLr"/>
            <w:vAlign w:val="center"/>
          </w:tcPr>
          <w:p w14:paraId="10DEDAF7" w14:textId="77777777" w:rsidR="00C648C7" w:rsidRPr="000A3FCE" w:rsidDel="00E04B56" w:rsidRDefault="00C648C7" w:rsidP="00947335">
            <w:pPr>
              <w:pStyle w:val="Paragraphedeliste"/>
              <w:spacing w:after="120"/>
              <w:ind w:left="227" w:right="113"/>
              <w:jc w:val="center"/>
              <w:rPr>
                <w:b/>
                <w:lang w:val="fr-BE"/>
              </w:rPr>
            </w:pPr>
          </w:p>
        </w:tc>
        <w:tc>
          <w:tcPr>
            <w:tcW w:w="2438" w:type="dxa"/>
            <w:vAlign w:val="center"/>
          </w:tcPr>
          <w:p w14:paraId="5082F139" w14:textId="77777777" w:rsidR="00C648C7" w:rsidRPr="000A3FCE" w:rsidRDefault="00C648C7" w:rsidP="00947335">
            <w:pPr>
              <w:pStyle w:val="Paragraphedeliste"/>
              <w:numPr>
                <w:ilvl w:val="0"/>
                <w:numId w:val="51"/>
              </w:numPr>
              <w:spacing w:before="120" w:after="120"/>
              <w:ind w:left="227" w:hanging="284"/>
              <w:contextualSpacing w:val="0"/>
              <w:rPr>
                <w:b/>
                <w:lang w:val="fr-BE"/>
              </w:rPr>
            </w:pPr>
            <w:r>
              <w:rPr>
                <w:b/>
                <w:lang w:val="fr-BE"/>
              </w:rPr>
              <w:t>La liste prend</w:t>
            </w:r>
            <w:r w:rsidRPr="000A3FCE">
              <w:rPr>
                <w:b/>
                <w:lang w:val="fr-BE"/>
              </w:rPr>
              <w:t xml:space="preserve"> en compte les normes nationales ou internationales éventuelles de la discipline ou du domaine</w:t>
            </w:r>
          </w:p>
        </w:tc>
        <w:tc>
          <w:tcPr>
            <w:tcW w:w="2438" w:type="dxa"/>
          </w:tcPr>
          <w:p w14:paraId="4A6CFA16" w14:textId="77777777" w:rsidR="00C648C7" w:rsidRPr="00213C31" w:rsidRDefault="00C648C7" w:rsidP="00947335">
            <w:pPr>
              <w:spacing w:before="60" w:after="60"/>
              <w:rPr>
                <w:sz w:val="18"/>
                <w:szCs w:val="18"/>
              </w:rPr>
            </w:pPr>
            <w:r w:rsidRPr="00213C31">
              <w:rPr>
                <w:sz w:val="18"/>
                <w:szCs w:val="18"/>
              </w:rPr>
              <w:t xml:space="preserve">La liste ne tient pas compte des normes nationales et internationales  </w:t>
            </w:r>
          </w:p>
        </w:tc>
        <w:tc>
          <w:tcPr>
            <w:tcW w:w="2438" w:type="dxa"/>
          </w:tcPr>
          <w:p w14:paraId="51C30ACA" w14:textId="77777777" w:rsidR="00C648C7" w:rsidRPr="00213C31" w:rsidRDefault="00C648C7" w:rsidP="00947335">
            <w:pPr>
              <w:spacing w:before="60" w:after="60"/>
              <w:rPr>
                <w:sz w:val="18"/>
                <w:szCs w:val="18"/>
              </w:rPr>
            </w:pPr>
            <w:r w:rsidRPr="00213C31">
              <w:rPr>
                <w:sz w:val="18"/>
                <w:szCs w:val="18"/>
              </w:rPr>
              <w:t>Certains AAV qui relèvent de normes nationales et internationales sont omis</w:t>
            </w:r>
          </w:p>
        </w:tc>
        <w:tc>
          <w:tcPr>
            <w:tcW w:w="2438" w:type="dxa"/>
          </w:tcPr>
          <w:p w14:paraId="4281B755" w14:textId="77777777" w:rsidR="00C648C7" w:rsidRPr="00213C31" w:rsidRDefault="00C648C7" w:rsidP="00947335">
            <w:pPr>
              <w:spacing w:before="60" w:after="60"/>
              <w:rPr>
                <w:sz w:val="18"/>
                <w:szCs w:val="18"/>
              </w:rPr>
            </w:pPr>
            <w:r w:rsidRPr="00213C31">
              <w:rPr>
                <w:sz w:val="18"/>
                <w:szCs w:val="18"/>
              </w:rPr>
              <w:t>La liste prend en compte les normes nationales et internationales dans la discipline</w:t>
            </w:r>
          </w:p>
          <w:p w14:paraId="05630A74" w14:textId="77777777" w:rsidR="00C648C7" w:rsidRPr="00213C31" w:rsidRDefault="00C648C7" w:rsidP="00947335">
            <w:pPr>
              <w:spacing w:before="60" w:after="60"/>
              <w:rPr>
                <w:sz w:val="18"/>
                <w:szCs w:val="18"/>
              </w:rPr>
            </w:pPr>
          </w:p>
        </w:tc>
        <w:tc>
          <w:tcPr>
            <w:tcW w:w="2438" w:type="dxa"/>
          </w:tcPr>
          <w:p w14:paraId="4394BE0F" w14:textId="77777777" w:rsidR="00C648C7" w:rsidRPr="00213C31" w:rsidRDefault="00C648C7" w:rsidP="00947335">
            <w:pPr>
              <w:spacing w:before="60" w:after="60"/>
              <w:rPr>
                <w:sz w:val="18"/>
                <w:szCs w:val="18"/>
              </w:rPr>
            </w:pPr>
            <w:r w:rsidRPr="00213C31">
              <w:rPr>
                <w:sz w:val="18"/>
                <w:szCs w:val="18"/>
              </w:rPr>
              <w:t xml:space="preserve">La liste est conforme/fait explicitement </w:t>
            </w:r>
            <w:r>
              <w:rPr>
                <w:sz w:val="18"/>
                <w:szCs w:val="18"/>
              </w:rPr>
              <w:t>référence</w:t>
            </w:r>
            <w:r w:rsidRPr="00213C31">
              <w:rPr>
                <w:sz w:val="18"/>
                <w:szCs w:val="18"/>
              </w:rPr>
              <w:t xml:space="preserve"> aux normes nationales et internationales dans la discipline</w:t>
            </w:r>
          </w:p>
        </w:tc>
      </w:tr>
      <w:tr w:rsidR="00C648C7" w:rsidRPr="000A3FCE" w14:paraId="10A2C168" w14:textId="77777777" w:rsidTr="00947335">
        <w:trPr>
          <w:cantSplit/>
          <w:trHeight w:val="1134"/>
        </w:trPr>
        <w:tc>
          <w:tcPr>
            <w:tcW w:w="1701" w:type="dxa"/>
            <w:vMerge/>
            <w:textDirection w:val="btLr"/>
            <w:vAlign w:val="center"/>
          </w:tcPr>
          <w:p w14:paraId="51B1F086" w14:textId="77777777" w:rsidR="00C648C7" w:rsidRPr="000A3FCE" w:rsidDel="00E04B56" w:rsidRDefault="00C648C7" w:rsidP="00947335">
            <w:pPr>
              <w:pStyle w:val="Paragraphedeliste"/>
              <w:spacing w:after="120"/>
              <w:ind w:left="227" w:right="113"/>
              <w:jc w:val="center"/>
              <w:rPr>
                <w:b/>
                <w:lang w:val="fr-BE"/>
              </w:rPr>
            </w:pPr>
          </w:p>
        </w:tc>
        <w:tc>
          <w:tcPr>
            <w:tcW w:w="2438" w:type="dxa"/>
            <w:vAlign w:val="center"/>
          </w:tcPr>
          <w:p w14:paraId="32653320" w14:textId="77777777" w:rsidR="00C648C7" w:rsidRPr="000A3FCE" w:rsidRDefault="00C648C7" w:rsidP="00947335">
            <w:pPr>
              <w:pStyle w:val="Paragraphedeliste"/>
              <w:numPr>
                <w:ilvl w:val="0"/>
                <w:numId w:val="51"/>
              </w:numPr>
              <w:spacing w:before="120" w:after="120"/>
              <w:ind w:left="227" w:hanging="284"/>
              <w:contextualSpacing w:val="0"/>
              <w:rPr>
                <w:b/>
                <w:lang w:val="fr-BE"/>
              </w:rPr>
            </w:pPr>
            <w:r>
              <w:rPr>
                <w:b/>
                <w:lang w:val="fr-BE"/>
              </w:rPr>
              <w:t>T</w:t>
            </w:r>
            <w:r w:rsidRPr="000A3FCE">
              <w:rPr>
                <w:b/>
                <w:lang w:val="fr-BE"/>
              </w:rPr>
              <w:t>outes les parties prenantes</w:t>
            </w:r>
            <w:r>
              <w:rPr>
                <w:b/>
                <w:lang w:val="fr-BE"/>
              </w:rPr>
              <w:br/>
              <w:t xml:space="preserve">(gestionnaires de programmes, autres enseignants, employeurs potentiels, ...) sont identifiées et </w:t>
            </w:r>
            <w:r w:rsidRPr="000A3FCE">
              <w:rPr>
                <w:b/>
                <w:lang w:val="fr-BE"/>
              </w:rPr>
              <w:t>consultées</w:t>
            </w:r>
            <w:r>
              <w:rPr>
                <w:b/>
                <w:lang w:val="fr-BE"/>
              </w:rPr>
              <w:t>. On a</w:t>
            </w:r>
            <w:r w:rsidRPr="000A3FCE">
              <w:rPr>
                <w:b/>
                <w:lang w:val="fr-BE"/>
              </w:rPr>
              <w:t xml:space="preserve"> tenu compte de leurs avis</w:t>
            </w:r>
            <w:r>
              <w:rPr>
                <w:b/>
                <w:lang w:val="fr-BE"/>
              </w:rPr>
              <w:t>.</w:t>
            </w:r>
          </w:p>
        </w:tc>
        <w:tc>
          <w:tcPr>
            <w:tcW w:w="2438" w:type="dxa"/>
          </w:tcPr>
          <w:p w14:paraId="6F67226C" w14:textId="77777777" w:rsidR="00C648C7" w:rsidRPr="00213C31" w:rsidRDefault="00C648C7" w:rsidP="00947335">
            <w:pPr>
              <w:spacing w:before="60" w:after="60"/>
              <w:rPr>
                <w:sz w:val="18"/>
                <w:szCs w:val="18"/>
              </w:rPr>
            </w:pPr>
            <w:r>
              <w:rPr>
                <w:sz w:val="18"/>
                <w:szCs w:val="18"/>
              </w:rPr>
              <w:t>On n’a pas jugé utile de faire la liste des parties prenantes</w:t>
            </w:r>
          </w:p>
        </w:tc>
        <w:tc>
          <w:tcPr>
            <w:tcW w:w="2438" w:type="dxa"/>
          </w:tcPr>
          <w:p w14:paraId="62A0743B" w14:textId="77777777" w:rsidR="00C648C7" w:rsidRPr="00213C31" w:rsidRDefault="00C648C7" w:rsidP="00947335">
            <w:pPr>
              <w:spacing w:before="60" w:after="60"/>
              <w:rPr>
                <w:sz w:val="18"/>
                <w:szCs w:val="18"/>
              </w:rPr>
            </w:pPr>
            <w:r>
              <w:rPr>
                <w:sz w:val="18"/>
                <w:szCs w:val="18"/>
              </w:rPr>
              <w:t>Certaines parties prenantes n’ont pas été consultées</w:t>
            </w:r>
          </w:p>
        </w:tc>
        <w:tc>
          <w:tcPr>
            <w:tcW w:w="2438" w:type="dxa"/>
          </w:tcPr>
          <w:p w14:paraId="4097E3F5" w14:textId="77777777" w:rsidR="00C648C7" w:rsidRPr="00213C31" w:rsidRDefault="00C648C7" w:rsidP="00947335">
            <w:pPr>
              <w:spacing w:before="60" w:after="60"/>
              <w:rPr>
                <w:sz w:val="18"/>
                <w:szCs w:val="18"/>
              </w:rPr>
            </w:pPr>
            <w:r>
              <w:rPr>
                <w:sz w:val="18"/>
                <w:szCs w:val="18"/>
              </w:rPr>
              <w:t>Toutes les parties prenantes ont été consultées et on a tenu compte de leurs avis dans une certaine mesure</w:t>
            </w:r>
          </w:p>
        </w:tc>
        <w:tc>
          <w:tcPr>
            <w:tcW w:w="2438" w:type="dxa"/>
          </w:tcPr>
          <w:p w14:paraId="1E1116C2" w14:textId="77777777" w:rsidR="00C648C7" w:rsidRPr="00213C31" w:rsidRDefault="00C648C7" w:rsidP="00947335">
            <w:pPr>
              <w:spacing w:before="60" w:after="60"/>
              <w:rPr>
                <w:sz w:val="18"/>
                <w:szCs w:val="18"/>
              </w:rPr>
            </w:pPr>
            <w:r w:rsidRPr="00213C31">
              <w:rPr>
                <w:sz w:val="18"/>
                <w:szCs w:val="18"/>
              </w:rPr>
              <w:t xml:space="preserve">La liste fait l’objet d’un consensus explicite </w:t>
            </w:r>
            <w:r>
              <w:rPr>
                <w:sz w:val="18"/>
                <w:szCs w:val="18"/>
              </w:rPr>
              <w:t xml:space="preserve">et formalisé </w:t>
            </w:r>
            <w:r w:rsidRPr="00213C31">
              <w:rPr>
                <w:sz w:val="18"/>
                <w:szCs w:val="18"/>
              </w:rPr>
              <w:t>de toutes les parties prenantes</w:t>
            </w:r>
          </w:p>
        </w:tc>
      </w:tr>
    </w:tbl>
    <w:p w14:paraId="49D97D11" w14:textId="22E31D15" w:rsidR="00C648C7" w:rsidRDefault="00C648C7" w:rsidP="002733A6">
      <w:pPr>
        <w:spacing w:after="240"/>
        <w:rPr>
          <w:b/>
          <w:sz w:val="28"/>
        </w:rPr>
      </w:pPr>
    </w:p>
    <w:p w14:paraId="7DDF6818" w14:textId="7EA96D22" w:rsidR="00C648C7" w:rsidRDefault="00C648C7">
      <w:pPr>
        <w:suppressAutoHyphens w:val="0"/>
        <w:rPr>
          <w:b/>
          <w:sz w:val="28"/>
        </w:rPr>
      </w:pPr>
      <w:r>
        <w:rPr>
          <w:b/>
          <w:sz w:val="28"/>
        </w:rPr>
        <w:br w:type="page"/>
      </w:r>
    </w:p>
    <w:p w14:paraId="44CC9A7A" w14:textId="77777777" w:rsidR="00C648C7" w:rsidRDefault="00C648C7" w:rsidP="002733A6">
      <w:pPr>
        <w:spacing w:after="240"/>
        <w:rPr>
          <w:b/>
          <w:sz w:val="28"/>
        </w:rPr>
      </w:pPr>
    </w:p>
    <w:tbl>
      <w:tblPr>
        <w:tblStyle w:val="Grilledutableau"/>
        <w:tblW w:w="0" w:type="auto"/>
        <w:tblLayout w:type="fixed"/>
        <w:tblLook w:val="04A0" w:firstRow="1" w:lastRow="0" w:firstColumn="1" w:lastColumn="0" w:noHBand="0" w:noVBand="1"/>
      </w:tblPr>
      <w:tblGrid>
        <w:gridCol w:w="1701"/>
        <w:gridCol w:w="2438"/>
        <w:gridCol w:w="2438"/>
        <w:gridCol w:w="2438"/>
        <w:gridCol w:w="2438"/>
        <w:gridCol w:w="2438"/>
      </w:tblGrid>
      <w:tr w:rsidR="00C648C7" w:rsidRPr="000A3FCE" w14:paraId="0C6B397B" w14:textId="77777777" w:rsidTr="00947335">
        <w:trPr>
          <w:cantSplit/>
          <w:trHeight w:val="1134"/>
        </w:trPr>
        <w:tc>
          <w:tcPr>
            <w:tcW w:w="1701" w:type="dxa"/>
            <w:vMerge w:val="restart"/>
            <w:textDirection w:val="btLr"/>
            <w:vAlign w:val="center"/>
          </w:tcPr>
          <w:p w14:paraId="14D15782" w14:textId="77777777" w:rsidR="00C648C7" w:rsidRPr="000A3FCE" w:rsidDel="00E04B56" w:rsidRDefault="00C648C7" w:rsidP="00947335">
            <w:pPr>
              <w:pStyle w:val="Paragraphedeliste"/>
              <w:spacing w:after="120"/>
              <w:ind w:left="227" w:right="113"/>
              <w:jc w:val="center"/>
              <w:rPr>
                <w:b/>
                <w:lang w:val="fr-BE"/>
              </w:rPr>
            </w:pPr>
            <w:r w:rsidRPr="009D4C58">
              <w:rPr>
                <w:b/>
                <w:sz w:val="24"/>
                <w:lang w:val="fr-BE"/>
              </w:rPr>
              <w:t>Implication des étudiants</w:t>
            </w:r>
          </w:p>
        </w:tc>
        <w:tc>
          <w:tcPr>
            <w:tcW w:w="2438" w:type="dxa"/>
            <w:vAlign w:val="center"/>
          </w:tcPr>
          <w:p w14:paraId="3E16C67B" w14:textId="77777777" w:rsidR="00C648C7" w:rsidRPr="000A3FCE" w:rsidRDefault="00C648C7" w:rsidP="00947335">
            <w:pPr>
              <w:pStyle w:val="Paragraphedeliste"/>
              <w:numPr>
                <w:ilvl w:val="0"/>
                <w:numId w:val="51"/>
              </w:numPr>
              <w:spacing w:before="120" w:after="120"/>
              <w:ind w:left="227" w:hanging="284"/>
              <w:contextualSpacing w:val="0"/>
              <w:rPr>
                <w:b/>
                <w:i/>
                <w:iCs/>
                <w:color w:val="404040" w:themeColor="text1" w:themeTint="BF"/>
                <w:lang w:val="fr-BE"/>
              </w:rPr>
            </w:pPr>
            <w:r w:rsidRPr="000A3FCE">
              <w:rPr>
                <w:b/>
                <w:lang w:val="fr-BE"/>
              </w:rPr>
              <w:t xml:space="preserve"> </w:t>
            </w:r>
            <w:r>
              <w:rPr>
                <w:b/>
                <w:lang w:val="fr-BE"/>
              </w:rPr>
              <w:t>L</w:t>
            </w:r>
            <w:r w:rsidRPr="000A3FCE">
              <w:rPr>
                <w:b/>
                <w:lang w:val="fr-BE"/>
              </w:rPr>
              <w:t>es acquis d’apprentissage visés par le programme sont communiqués aux étudiants</w:t>
            </w:r>
          </w:p>
        </w:tc>
        <w:tc>
          <w:tcPr>
            <w:tcW w:w="2438" w:type="dxa"/>
          </w:tcPr>
          <w:p w14:paraId="0AC935A1" w14:textId="77777777" w:rsidR="00C648C7" w:rsidRPr="00213C31" w:rsidRDefault="00C648C7" w:rsidP="00947335">
            <w:pPr>
              <w:pStyle w:val="Entry"/>
              <w:rPr>
                <w:szCs w:val="18"/>
              </w:rPr>
            </w:pPr>
            <w:r>
              <w:rPr>
                <w:szCs w:val="18"/>
              </w:rPr>
              <w:t>P</w:t>
            </w:r>
            <w:r w:rsidRPr="00213C31">
              <w:rPr>
                <w:szCs w:val="18"/>
              </w:rPr>
              <w:t xml:space="preserve">eu d’informations sont fournies </w:t>
            </w:r>
            <w:r>
              <w:rPr>
                <w:szCs w:val="18"/>
              </w:rPr>
              <w:t xml:space="preserve">aux étudiants à </w:t>
            </w:r>
            <w:r w:rsidRPr="00213C31">
              <w:rPr>
                <w:szCs w:val="18"/>
              </w:rPr>
              <w:t>propos des acquis d’appren</w:t>
            </w:r>
            <w:r>
              <w:rPr>
                <w:szCs w:val="18"/>
              </w:rPr>
              <w:t>tissage visés par le programme </w:t>
            </w:r>
          </w:p>
          <w:p w14:paraId="641B05E7" w14:textId="77777777" w:rsidR="00C648C7" w:rsidRPr="00213C31" w:rsidRDefault="00C648C7" w:rsidP="00947335">
            <w:pPr>
              <w:spacing w:before="60" w:after="60"/>
              <w:rPr>
                <w:sz w:val="18"/>
                <w:szCs w:val="18"/>
              </w:rPr>
            </w:pPr>
          </w:p>
        </w:tc>
        <w:tc>
          <w:tcPr>
            <w:tcW w:w="2438" w:type="dxa"/>
          </w:tcPr>
          <w:p w14:paraId="7BBE5365" w14:textId="59BEAD67" w:rsidR="00C648C7" w:rsidRPr="00213C31" w:rsidRDefault="00C648C7" w:rsidP="00947335">
            <w:pPr>
              <w:pStyle w:val="Entry"/>
              <w:rPr>
                <w:szCs w:val="18"/>
              </w:rPr>
            </w:pPr>
            <w:r w:rsidRPr="00213C31">
              <w:rPr>
                <w:szCs w:val="18"/>
              </w:rPr>
              <w:t>Les étudiants ont une connaissance fragmentaire des acquis d’apprentissage visés par le programme ; ils n’en perçoivent pas nécessairement la portée ou l’utilité</w:t>
            </w:r>
          </w:p>
          <w:p w14:paraId="4F9239C9" w14:textId="77777777" w:rsidR="00C648C7" w:rsidRPr="00213C31" w:rsidRDefault="00C648C7" w:rsidP="00947335">
            <w:pPr>
              <w:spacing w:before="60" w:after="60"/>
              <w:rPr>
                <w:sz w:val="18"/>
                <w:szCs w:val="18"/>
              </w:rPr>
            </w:pPr>
          </w:p>
        </w:tc>
        <w:tc>
          <w:tcPr>
            <w:tcW w:w="2438" w:type="dxa"/>
          </w:tcPr>
          <w:p w14:paraId="37BFA3AB" w14:textId="77777777" w:rsidR="00C648C7" w:rsidRPr="00213C31" w:rsidRDefault="00C648C7" w:rsidP="00947335">
            <w:pPr>
              <w:pStyle w:val="Entry"/>
              <w:rPr>
                <w:szCs w:val="18"/>
              </w:rPr>
            </w:pPr>
            <w:r w:rsidRPr="00213C31">
              <w:rPr>
                <w:szCs w:val="18"/>
              </w:rPr>
              <w:t>Les étudiants ont une bonne connaissance des acquis d’apprentissage visés par le programme </w:t>
            </w:r>
          </w:p>
        </w:tc>
        <w:tc>
          <w:tcPr>
            <w:tcW w:w="2438" w:type="dxa"/>
          </w:tcPr>
          <w:p w14:paraId="4DF6B42E" w14:textId="030F2748" w:rsidR="00C648C7" w:rsidRPr="00213C31" w:rsidRDefault="00C648C7" w:rsidP="00947335">
            <w:pPr>
              <w:pStyle w:val="Entry"/>
              <w:rPr>
                <w:szCs w:val="18"/>
              </w:rPr>
            </w:pPr>
            <w:r>
              <w:rPr>
                <w:szCs w:val="18"/>
              </w:rPr>
              <w:t>L’organisation est telle que les étudiants sont systématiquement mis au courant des AAV</w:t>
            </w:r>
            <w:r w:rsidRPr="00213C31">
              <w:rPr>
                <w:szCs w:val="18"/>
              </w:rPr>
              <w:t>;</w:t>
            </w:r>
            <w:r>
              <w:rPr>
                <w:szCs w:val="18"/>
              </w:rPr>
              <w:t xml:space="preserve"> ils en perçoivent l’intérêt </w:t>
            </w:r>
          </w:p>
        </w:tc>
      </w:tr>
      <w:tr w:rsidR="00C648C7" w:rsidRPr="000A3FCE" w14:paraId="02A03872" w14:textId="77777777" w:rsidTr="00947335">
        <w:trPr>
          <w:cantSplit/>
          <w:trHeight w:val="1134"/>
        </w:trPr>
        <w:tc>
          <w:tcPr>
            <w:tcW w:w="1701" w:type="dxa"/>
            <w:vMerge/>
            <w:textDirection w:val="btLr"/>
            <w:vAlign w:val="center"/>
          </w:tcPr>
          <w:p w14:paraId="0888E553" w14:textId="77777777" w:rsidR="00C648C7" w:rsidRPr="000A3FCE" w:rsidRDefault="00C648C7" w:rsidP="00947335">
            <w:pPr>
              <w:pStyle w:val="Paragraphedeliste"/>
              <w:spacing w:after="120"/>
              <w:ind w:left="227" w:right="113"/>
              <w:jc w:val="center"/>
              <w:rPr>
                <w:b/>
                <w:lang w:val="fr-BE"/>
              </w:rPr>
            </w:pPr>
          </w:p>
        </w:tc>
        <w:tc>
          <w:tcPr>
            <w:tcW w:w="2438" w:type="dxa"/>
            <w:vAlign w:val="center"/>
          </w:tcPr>
          <w:p w14:paraId="06D25921" w14:textId="77777777" w:rsidR="00C648C7" w:rsidRPr="000A3FCE" w:rsidRDefault="00C648C7" w:rsidP="00947335">
            <w:pPr>
              <w:pStyle w:val="Paragraphedeliste"/>
              <w:numPr>
                <w:ilvl w:val="0"/>
                <w:numId w:val="51"/>
              </w:numPr>
              <w:spacing w:before="120" w:after="120"/>
              <w:ind w:left="227" w:hanging="284"/>
              <w:contextualSpacing w:val="0"/>
              <w:rPr>
                <w:b/>
                <w:i/>
                <w:iCs/>
                <w:color w:val="404040" w:themeColor="text1" w:themeTint="BF"/>
                <w:lang w:val="fr-BE"/>
              </w:rPr>
            </w:pPr>
            <w:r w:rsidRPr="000A3FCE">
              <w:rPr>
                <w:b/>
                <w:lang w:val="fr-BE"/>
              </w:rPr>
              <w:t xml:space="preserve"> </w:t>
            </w:r>
            <w:r>
              <w:rPr>
                <w:b/>
                <w:lang w:val="fr-BE"/>
              </w:rPr>
              <w:t>Les</w:t>
            </w:r>
            <w:r w:rsidRPr="000A3FCE">
              <w:rPr>
                <w:b/>
                <w:lang w:val="fr-BE"/>
              </w:rPr>
              <w:t xml:space="preserve"> étudiants s’approprient effectivement les acquis d’apprentissage</w:t>
            </w:r>
          </w:p>
        </w:tc>
        <w:tc>
          <w:tcPr>
            <w:tcW w:w="2438" w:type="dxa"/>
          </w:tcPr>
          <w:p w14:paraId="4EB1EE66" w14:textId="77777777" w:rsidR="00C648C7" w:rsidRPr="00213C31" w:rsidRDefault="00C648C7" w:rsidP="00947335">
            <w:pPr>
              <w:spacing w:before="60" w:after="60"/>
              <w:rPr>
                <w:sz w:val="18"/>
                <w:szCs w:val="18"/>
              </w:rPr>
            </w:pPr>
            <w:r>
              <w:rPr>
                <w:sz w:val="18"/>
                <w:szCs w:val="18"/>
              </w:rPr>
              <w:t>Aucun dispositif particulier n’est prévu pour s’assurer que les étudiants comprennent et acceptent les acquis d’apprentissage</w:t>
            </w:r>
          </w:p>
        </w:tc>
        <w:tc>
          <w:tcPr>
            <w:tcW w:w="2438" w:type="dxa"/>
          </w:tcPr>
          <w:p w14:paraId="1B13ADBA" w14:textId="77777777" w:rsidR="00C648C7" w:rsidRPr="00213C31" w:rsidRDefault="00C648C7" w:rsidP="00947335">
            <w:pPr>
              <w:spacing w:before="60" w:after="60"/>
              <w:rPr>
                <w:sz w:val="18"/>
                <w:szCs w:val="18"/>
              </w:rPr>
            </w:pPr>
            <w:r>
              <w:rPr>
                <w:sz w:val="18"/>
                <w:szCs w:val="18"/>
              </w:rPr>
              <w:t>L’</w:t>
            </w:r>
            <w:r w:rsidRPr="00213C31">
              <w:rPr>
                <w:sz w:val="18"/>
                <w:szCs w:val="18"/>
              </w:rPr>
              <w:t>information à propos des acquis d’apprentissage visés est laissée à l’initiative des enseignants ; elle n’est pas systématique</w:t>
            </w:r>
          </w:p>
        </w:tc>
        <w:tc>
          <w:tcPr>
            <w:tcW w:w="2438" w:type="dxa"/>
          </w:tcPr>
          <w:p w14:paraId="5CFC76E9" w14:textId="77777777" w:rsidR="00C648C7" w:rsidRPr="00213C31" w:rsidRDefault="00C648C7" w:rsidP="00947335">
            <w:pPr>
              <w:spacing w:before="60" w:after="60"/>
              <w:rPr>
                <w:sz w:val="18"/>
                <w:szCs w:val="18"/>
              </w:rPr>
            </w:pPr>
            <w:r>
              <w:rPr>
                <w:sz w:val="18"/>
                <w:szCs w:val="18"/>
              </w:rPr>
              <w:t>L’i</w:t>
            </w:r>
            <w:r w:rsidRPr="00213C31">
              <w:rPr>
                <w:sz w:val="18"/>
                <w:szCs w:val="18"/>
              </w:rPr>
              <w:t>nformation à ce propos est systématique ; les documents sont facilement accessibles et les enseignants y font référence pour situer les activités et les évaluations</w:t>
            </w:r>
          </w:p>
        </w:tc>
        <w:tc>
          <w:tcPr>
            <w:tcW w:w="2438" w:type="dxa"/>
          </w:tcPr>
          <w:p w14:paraId="5C6AA747" w14:textId="77777777" w:rsidR="00C648C7" w:rsidRPr="00213C31" w:rsidRDefault="00C648C7" w:rsidP="00947335">
            <w:pPr>
              <w:spacing w:before="60" w:after="60"/>
              <w:rPr>
                <w:sz w:val="18"/>
                <w:szCs w:val="18"/>
              </w:rPr>
            </w:pPr>
            <w:r>
              <w:rPr>
                <w:sz w:val="18"/>
                <w:szCs w:val="18"/>
              </w:rPr>
              <w:t>Un groupe représentatif des étudiants est invité à vérifier l’appropriation</w:t>
            </w:r>
          </w:p>
        </w:tc>
      </w:tr>
      <w:tr w:rsidR="00C648C7" w:rsidRPr="000A3FCE" w14:paraId="5116D42D" w14:textId="77777777" w:rsidTr="00947335">
        <w:trPr>
          <w:cantSplit/>
          <w:trHeight w:val="1134"/>
        </w:trPr>
        <w:tc>
          <w:tcPr>
            <w:tcW w:w="1701" w:type="dxa"/>
            <w:vMerge/>
            <w:textDirection w:val="btLr"/>
            <w:vAlign w:val="center"/>
          </w:tcPr>
          <w:p w14:paraId="57A2253C" w14:textId="77777777" w:rsidR="00C648C7" w:rsidRPr="000A3FCE" w:rsidRDefault="00C648C7" w:rsidP="00947335">
            <w:pPr>
              <w:pStyle w:val="Paragraphedeliste"/>
              <w:spacing w:after="120"/>
              <w:ind w:left="227" w:right="113"/>
              <w:jc w:val="center"/>
              <w:rPr>
                <w:b/>
                <w:lang w:val="fr-BE"/>
              </w:rPr>
            </w:pPr>
          </w:p>
        </w:tc>
        <w:tc>
          <w:tcPr>
            <w:tcW w:w="2438" w:type="dxa"/>
            <w:vAlign w:val="center"/>
          </w:tcPr>
          <w:p w14:paraId="027B5501" w14:textId="77777777" w:rsidR="00C648C7" w:rsidRPr="000A3FCE" w:rsidRDefault="00C648C7" w:rsidP="00947335">
            <w:pPr>
              <w:pStyle w:val="Paragraphedeliste"/>
              <w:numPr>
                <w:ilvl w:val="0"/>
                <w:numId w:val="51"/>
              </w:numPr>
              <w:spacing w:before="120" w:after="120"/>
              <w:ind w:left="227" w:hanging="284"/>
              <w:contextualSpacing w:val="0"/>
              <w:rPr>
                <w:b/>
                <w:i/>
                <w:iCs/>
                <w:color w:val="404040" w:themeColor="text1" w:themeTint="BF"/>
                <w:lang w:val="fr-BE"/>
              </w:rPr>
            </w:pPr>
            <w:r w:rsidRPr="000A3FCE">
              <w:rPr>
                <w:b/>
                <w:lang w:val="fr-BE"/>
              </w:rPr>
              <w:t xml:space="preserve"> </w:t>
            </w:r>
            <w:r>
              <w:rPr>
                <w:b/>
                <w:lang w:val="fr-BE"/>
              </w:rPr>
              <w:t>Les</w:t>
            </w:r>
            <w:r w:rsidRPr="000A3FCE">
              <w:rPr>
                <w:b/>
                <w:lang w:val="fr-BE"/>
              </w:rPr>
              <w:t xml:space="preserve"> étudiants exploitent de manière efficace les acquis d’apprentissage pour piloter leurs études</w:t>
            </w:r>
          </w:p>
        </w:tc>
        <w:tc>
          <w:tcPr>
            <w:tcW w:w="2438" w:type="dxa"/>
          </w:tcPr>
          <w:p w14:paraId="5078C88D" w14:textId="77777777" w:rsidR="00C648C7" w:rsidRPr="00213C31" w:rsidRDefault="00C648C7" w:rsidP="00947335">
            <w:pPr>
              <w:spacing w:before="60" w:after="60"/>
              <w:rPr>
                <w:sz w:val="18"/>
                <w:szCs w:val="18"/>
              </w:rPr>
            </w:pPr>
            <w:r>
              <w:rPr>
                <w:sz w:val="18"/>
                <w:szCs w:val="18"/>
              </w:rPr>
              <w:t xml:space="preserve">Rien n’est prévu pour s’assurer que les étudiants </w:t>
            </w:r>
            <w:r w:rsidRPr="0061462B">
              <w:rPr>
                <w:sz w:val="18"/>
                <w:szCs w:val="18"/>
              </w:rPr>
              <w:t>exploitent de manière efficace les acquis d’apprentissage pour piloter leurs études</w:t>
            </w:r>
          </w:p>
        </w:tc>
        <w:tc>
          <w:tcPr>
            <w:tcW w:w="2438" w:type="dxa"/>
          </w:tcPr>
          <w:p w14:paraId="44B2A41D" w14:textId="7762A6FB" w:rsidR="00C648C7" w:rsidRPr="00213C31" w:rsidRDefault="00C648C7" w:rsidP="00947335">
            <w:pPr>
              <w:pStyle w:val="Entry"/>
              <w:rPr>
                <w:szCs w:val="18"/>
              </w:rPr>
            </w:pPr>
            <w:r>
              <w:rPr>
                <w:szCs w:val="18"/>
              </w:rPr>
              <w:t>Les étudiants</w:t>
            </w:r>
            <w:r w:rsidRPr="00213C31">
              <w:rPr>
                <w:szCs w:val="18"/>
              </w:rPr>
              <w:t xml:space="preserve"> utilisent cette connaissance dans une certaine mesure pour piloter l</w:t>
            </w:r>
            <w:r>
              <w:rPr>
                <w:szCs w:val="18"/>
              </w:rPr>
              <w:t>eurs activités d’apprentissage</w:t>
            </w:r>
          </w:p>
          <w:p w14:paraId="144EC3AE" w14:textId="77777777" w:rsidR="00C648C7" w:rsidRPr="00213C31" w:rsidRDefault="00C648C7" w:rsidP="00947335">
            <w:pPr>
              <w:spacing w:before="60" w:after="60"/>
              <w:rPr>
                <w:sz w:val="18"/>
                <w:szCs w:val="18"/>
              </w:rPr>
            </w:pPr>
          </w:p>
        </w:tc>
        <w:tc>
          <w:tcPr>
            <w:tcW w:w="2438" w:type="dxa"/>
          </w:tcPr>
          <w:p w14:paraId="2CB5A734" w14:textId="77777777" w:rsidR="00C648C7" w:rsidRPr="00213C31" w:rsidRDefault="00C648C7" w:rsidP="00947335">
            <w:pPr>
              <w:pStyle w:val="Entry"/>
              <w:rPr>
                <w:szCs w:val="18"/>
              </w:rPr>
            </w:pPr>
            <w:r>
              <w:rPr>
                <w:szCs w:val="18"/>
              </w:rPr>
              <w:t>Les étudiants utilisent effectivement les AAV pour piloter leur apprentissage</w:t>
            </w:r>
          </w:p>
        </w:tc>
        <w:tc>
          <w:tcPr>
            <w:tcW w:w="2438" w:type="dxa"/>
          </w:tcPr>
          <w:p w14:paraId="4FDC4A2F" w14:textId="77777777" w:rsidR="00C648C7" w:rsidRPr="00213C31" w:rsidRDefault="00C648C7" w:rsidP="00947335">
            <w:pPr>
              <w:spacing w:before="60" w:after="60"/>
              <w:rPr>
                <w:sz w:val="18"/>
                <w:szCs w:val="18"/>
              </w:rPr>
            </w:pPr>
            <w:r>
              <w:rPr>
                <w:sz w:val="18"/>
                <w:szCs w:val="18"/>
              </w:rPr>
              <w:t>L</w:t>
            </w:r>
            <w:r w:rsidRPr="00213C31">
              <w:rPr>
                <w:sz w:val="18"/>
                <w:szCs w:val="18"/>
              </w:rPr>
              <w:t xml:space="preserve">es étudiants utilisent de manière </w:t>
            </w:r>
            <w:r>
              <w:rPr>
                <w:sz w:val="18"/>
                <w:szCs w:val="18"/>
              </w:rPr>
              <w:t>systématique</w:t>
            </w:r>
            <w:r w:rsidRPr="00213C31">
              <w:rPr>
                <w:sz w:val="18"/>
                <w:szCs w:val="18"/>
              </w:rPr>
              <w:t xml:space="preserve"> la liste des acquis d’apprentissage et les critères d’évaluation pour évaluer leur propre progression dans l’apprentissage et piloter celui-ci</w:t>
            </w:r>
          </w:p>
        </w:tc>
      </w:tr>
      <w:tr w:rsidR="00C648C7" w:rsidRPr="000A3FCE" w14:paraId="0B94B59F" w14:textId="77777777" w:rsidTr="00947335">
        <w:trPr>
          <w:cantSplit/>
          <w:trHeight w:val="1134"/>
        </w:trPr>
        <w:tc>
          <w:tcPr>
            <w:tcW w:w="1701" w:type="dxa"/>
            <w:vMerge/>
            <w:textDirection w:val="btLr"/>
            <w:vAlign w:val="center"/>
          </w:tcPr>
          <w:p w14:paraId="73D699C9" w14:textId="77777777" w:rsidR="00C648C7" w:rsidRPr="000A3FCE" w:rsidRDefault="00C648C7" w:rsidP="00947335">
            <w:pPr>
              <w:pStyle w:val="Paragraphedeliste"/>
              <w:spacing w:after="120"/>
              <w:ind w:left="227" w:right="113"/>
              <w:jc w:val="center"/>
              <w:rPr>
                <w:b/>
                <w:lang w:val="fr-BE"/>
              </w:rPr>
            </w:pPr>
          </w:p>
        </w:tc>
        <w:tc>
          <w:tcPr>
            <w:tcW w:w="2438" w:type="dxa"/>
            <w:vAlign w:val="center"/>
          </w:tcPr>
          <w:p w14:paraId="0AD6B340" w14:textId="77777777" w:rsidR="00C648C7" w:rsidRPr="000A3FCE" w:rsidRDefault="00C648C7" w:rsidP="00947335">
            <w:pPr>
              <w:pStyle w:val="Paragraphedeliste"/>
              <w:numPr>
                <w:ilvl w:val="0"/>
                <w:numId w:val="51"/>
              </w:numPr>
              <w:spacing w:before="120" w:after="120"/>
              <w:ind w:left="227" w:hanging="284"/>
              <w:contextualSpacing w:val="0"/>
              <w:rPr>
                <w:b/>
                <w:lang w:val="fr-BE"/>
              </w:rPr>
            </w:pPr>
            <w:r>
              <w:rPr>
                <w:b/>
                <w:lang w:val="fr-BE"/>
              </w:rPr>
              <w:t xml:space="preserve"> L</w:t>
            </w:r>
            <w:r w:rsidRPr="000A3FCE">
              <w:rPr>
                <w:b/>
                <w:lang w:val="fr-BE"/>
              </w:rPr>
              <w:t xml:space="preserve">es étudiants participent au processus d’élaboration et/ou de révision </w:t>
            </w:r>
            <w:r>
              <w:rPr>
                <w:b/>
                <w:lang w:val="fr-BE"/>
              </w:rPr>
              <w:t xml:space="preserve">de la liste </w:t>
            </w:r>
            <w:r w:rsidRPr="000A3FCE">
              <w:rPr>
                <w:b/>
                <w:lang w:val="fr-BE"/>
              </w:rPr>
              <w:t>des acquis d’apprentissage</w:t>
            </w:r>
          </w:p>
        </w:tc>
        <w:tc>
          <w:tcPr>
            <w:tcW w:w="2438" w:type="dxa"/>
          </w:tcPr>
          <w:p w14:paraId="69A76235" w14:textId="77777777" w:rsidR="00C648C7" w:rsidRPr="000A3FCE" w:rsidRDefault="00C648C7" w:rsidP="00947335">
            <w:pPr>
              <w:spacing w:before="60" w:after="60"/>
              <w:rPr>
                <w:sz w:val="18"/>
                <w:szCs w:val="18"/>
              </w:rPr>
            </w:pPr>
            <w:r>
              <w:rPr>
                <w:sz w:val="18"/>
                <w:szCs w:val="18"/>
              </w:rPr>
              <w:t>Les étudiants ne sont pas partie prenante à l’élaboration/révision de la liste des AAV</w:t>
            </w:r>
          </w:p>
        </w:tc>
        <w:tc>
          <w:tcPr>
            <w:tcW w:w="2438" w:type="dxa"/>
          </w:tcPr>
          <w:p w14:paraId="556F81CA" w14:textId="77777777" w:rsidR="00C648C7" w:rsidRPr="000A3FCE" w:rsidRDefault="00C648C7" w:rsidP="00947335">
            <w:pPr>
              <w:spacing w:before="60" w:after="60"/>
              <w:rPr>
                <w:sz w:val="18"/>
                <w:szCs w:val="18"/>
              </w:rPr>
            </w:pPr>
            <w:r>
              <w:rPr>
                <w:sz w:val="18"/>
                <w:szCs w:val="18"/>
              </w:rPr>
              <w:t xml:space="preserve">Certains enseignants consultent les étudiants lors de l’élaboration ou de la révision de la liste des AAV </w:t>
            </w:r>
          </w:p>
        </w:tc>
        <w:tc>
          <w:tcPr>
            <w:tcW w:w="2438" w:type="dxa"/>
          </w:tcPr>
          <w:p w14:paraId="31D309DC" w14:textId="77777777" w:rsidR="00C648C7" w:rsidRPr="000A3FCE" w:rsidRDefault="00C648C7" w:rsidP="00947335">
            <w:pPr>
              <w:spacing w:before="60" w:after="60"/>
              <w:rPr>
                <w:sz w:val="18"/>
                <w:szCs w:val="18"/>
              </w:rPr>
            </w:pPr>
            <w:r>
              <w:rPr>
                <w:sz w:val="18"/>
                <w:szCs w:val="18"/>
              </w:rPr>
              <w:t xml:space="preserve">La plupart des enseignants consultent les étudiants lors de l’élaboration ou de la révision de la liste des AAV </w:t>
            </w:r>
          </w:p>
        </w:tc>
        <w:tc>
          <w:tcPr>
            <w:tcW w:w="2438" w:type="dxa"/>
          </w:tcPr>
          <w:p w14:paraId="082E10D8" w14:textId="1EACE360" w:rsidR="00C648C7" w:rsidRPr="000A3FCE" w:rsidRDefault="00C648C7" w:rsidP="00947335">
            <w:pPr>
              <w:pStyle w:val="Entry"/>
            </w:pPr>
            <w:r>
              <w:t>D</w:t>
            </w:r>
            <w:r w:rsidRPr="000A3FCE">
              <w:t xml:space="preserve">es délégués des étudiants </w:t>
            </w:r>
            <w:r>
              <w:t xml:space="preserve">participent de manière formelle </w:t>
            </w:r>
            <w:r w:rsidRPr="000A3FCE">
              <w:t xml:space="preserve">à l’élaboration </w:t>
            </w:r>
            <w:r>
              <w:t xml:space="preserve">et à chaque révision </w:t>
            </w:r>
            <w:r w:rsidRPr="000A3FCE">
              <w:t>de la liste</w:t>
            </w:r>
            <w:r>
              <w:t> des AAV</w:t>
            </w:r>
          </w:p>
          <w:p w14:paraId="6A48F2BA" w14:textId="77777777" w:rsidR="00C648C7" w:rsidRPr="000A3FCE" w:rsidRDefault="00C648C7" w:rsidP="00947335">
            <w:pPr>
              <w:spacing w:before="60" w:after="60"/>
              <w:rPr>
                <w:sz w:val="18"/>
                <w:szCs w:val="18"/>
              </w:rPr>
            </w:pPr>
          </w:p>
        </w:tc>
      </w:tr>
    </w:tbl>
    <w:p w14:paraId="4AC2234E" w14:textId="77777777" w:rsidR="00C648C7" w:rsidRDefault="00C648C7" w:rsidP="002733A6">
      <w:pPr>
        <w:spacing w:after="240"/>
        <w:rPr>
          <w:b/>
          <w:sz w:val="28"/>
        </w:rPr>
      </w:pPr>
    </w:p>
    <w:sectPr w:rsidR="00C648C7" w:rsidSect="005E5DE9">
      <w:footerReference w:type="default" r:id="rId10"/>
      <w:pgSz w:w="16820" w:h="11900" w:orient="landscape"/>
      <w:pgMar w:top="1418" w:right="1440" w:bottom="1135" w:left="1440" w:header="709"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51D50" w14:textId="77777777" w:rsidR="00531057" w:rsidRDefault="00531057">
      <w:r>
        <w:separator/>
      </w:r>
    </w:p>
  </w:endnote>
  <w:endnote w:type="continuationSeparator" w:id="0">
    <w:p w14:paraId="04C836E1" w14:textId="77777777" w:rsidR="00531057" w:rsidRDefault="0053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8B1BA" w14:textId="77777777" w:rsidR="00C97C68" w:rsidRPr="00411F8E" w:rsidRDefault="00C97C68" w:rsidP="00C97C68">
    <w:pPr>
      <w:spacing w:before="80"/>
      <w:ind w:left="1560" w:right="2414" w:firstLine="787"/>
      <w:rPr>
        <w:rFonts w:eastAsia="Arial" w:cs="Arial"/>
        <w:sz w:val="16"/>
        <w:szCs w:val="16"/>
        <w:lang w:val="en-US"/>
      </w:rPr>
    </w:pPr>
    <w:r>
      <w:rPr>
        <w:noProof/>
        <w:lang w:eastAsia="fr-BE"/>
      </w:rPr>
      <w:drawing>
        <wp:anchor distT="0" distB="0" distL="114300" distR="114300" simplePos="0" relativeHeight="251659776" behindDoc="0" locked="0" layoutInCell="1" allowOverlap="1" wp14:anchorId="790C88E4" wp14:editId="70EC937A">
          <wp:simplePos x="0" y="0"/>
          <wp:positionH relativeFrom="page">
            <wp:posOffset>4924425</wp:posOffset>
          </wp:positionH>
          <wp:positionV relativeFrom="paragraph">
            <wp:posOffset>57150</wp:posOffset>
          </wp:positionV>
          <wp:extent cx="934627" cy="327660"/>
          <wp:effectExtent l="0" t="0" r="0" b="0"/>
          <wp:wrapNone/>
          <wp:docPr id="16"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627"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F8E">
      <w:rPr>
        <w:rFonts w:eastAsia="Arial" w:cs="Arial"/>
        <w:spacing w:val="-1"/>
        <w:sz w:val="16"/>
        <w:szCs w:val="16"/>
        <w:lang w:val="en-US"/>
      </w:rPr>
      <w:t>FA2L</w:t>
    </w:r>
    <w:r w:rsidRPr="00411F8E">
      <w:rPr>
        <w:rFonts w:eastAsia="Arial" w:cs="Arial"/>
        <w:sz w:val="16"/>
        <w:szCs w:val="16"/>
        <w:lang w:val="en-US"/>
      </w:rPr>
      <w:t xml:space="preserve"> –</w:t>
    </w:r>
    <w:r w:rsidRPr="00411F8E">
      <w:rPr>
        <w:rFonts w:eastAsia="Arial" w:cs="Arial"/>
        <w:spacing w:val="-2"/>
        <w:sz w:val="16"/>
        <w:szCs w:val="16"/>
        <w:lang w:val="en-US"/>
      </w:rPr>
      <w:t xml:space="preserve"> </w:t>
    </w:r>
    <w:proofErr w:type="spellStart"/>
    <w:r w:rsidRPr="00411F8E">
      <w:rPr>
        <w:rFonts w:eastAsia="Arial" w:cs="Arial"/>
        <w:spacing w:val="-1"/>
        <w:sz w:val="16"/>
        <w:szCs w:val="16"/>
        <w:lang w:val="en-US"/>
      </w:rPr>
      <w:t>Licence</w:t>
    </w:r>
    <w:proofErr w:type="spellEnd"/>
    <w:r w:rsidRPr="00411F8E">
      <w:rPr>
        <w:rFonts w:eastAsia="Arial" w:cs="Arial"/>
        <w:sz w:val="16"/>
        <w:szCs w:val="16"/>
        <w:lang w:val="en-US"/>
      </w:rPr>
      <w:t xml:space="preserve"> </w:t>
    </w:r>
    <w:r w:rsidRPr="00411F8E">
      <w:rPr>
        <w:rFonts w:eastAsia="Arial" w:cs="Arial"/>
        <w:spacing w:val="-1"/>
        <w:sz w:val="16"/>
        <w:szCs w:val="16"/>
        <w:lang w:val="en-US"/>
      </w:rPr>
      <w:t>Creative</w:t>
    </w:r>
    <w:r w:rsidRPr="00411F8E">
      <w:rPr>
        <w:rFonts w:eastAsia="Arial" w:cs="Arial"/>
        <w:sz w:val="16"/>
        <w:szCs w:val="16"/>
        <w:lang w:val="en-US"/>
      </w:rPr>
      <w:t xml:space="preserve"> </w:t>
    </w:r>
    <w:r w:rsidRPr="00411F8E">
      <w:rPr>
        <w:rFonts w:eastAsia="Arial" w:cs="Arial"/>
        <w:spacing w:val="-2"/>
        <w:sz w:val="16"/>
        <w:szCs w:val="16"/>
        <w:lang w:val="en-US"/>
      </w:rPr>
      <w:t>Commons</w:t>
    </w:r>
    <w:r w:rsidRPr="00411F8E">
      <w:rPr>
        <w:rFonts w:eastAsia="Arial" w:cs="Arial"/>
        <w:sz w:val="16"/>
        <w:szCs w:val="16"/>
        <w:lang w:val="en-US"/>
      </w:rPr>
      <w:t xml:space="preserve"> </w:t>
    </w:r>
    <w:r w:rsidRPr="00411F8E">
      <w:rPr>
        <w:rFonts w:eastAsia="Arial" w:cs="Arial"/>
        <w:color w:val="0000FF"/>
        <w:sz w:val="16"/>
        <w:szCs w:val="16"/>
        <w:lang w:val="en-US"/>
      </w:rPr>
      <w:t xml:space="preserve"> </w:t>
    </w:r>
    <w:hyperlink r:id="rId2">
      <w:r w:rsidRPr="00411F8E">
        <w:rPr>
          <w:rFonts w:eastAsia="Arial" w:cs="Arial"/>
          <w:color w:val="0000FF"/>
          <w:spacing w:val="-1"/>
          <w:sz w:val="16"/>
          <w:szCs w:val="16"/>
          <w:u w:val="single" w:color="0000FF"/>
          <w:lang w:val="en-US"/>
        </w:rPr>
        <w:t>https://creativecommons.org/licenses/by-nc-sa/4.0/deed.fr</w:t>
      </w:r>
    </w:hyperlink>
  </w:p>
  <w:p w14:paraId="60F6D9C0" w14:textId="77777777" w:rsidR="00C97C68" w:rsidRPr="008012B7" w:rsidRDefault="00C97C68" w:rsidP="00C97C68">
    <w:pPr>
      <w:pStyle w:val="Pieddepage"/>
      <w:rPr>
        <w:lang w:val="en-US"/>
      </w:rPr>
    </w:pPr>
  </w:p>
  <w:p w14:paraId="2A4E8B4A" w14:textId="667E3CA0" w:rsidR="00223E88" w:rsidRPr="00C97C68" w:rsidRDefault="00223E88" w:rsidP="00C97C68">
    <w:pPr>
      <w:pStyle w:val="Pieddepag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364E0" w14:textId="77777777" w:rsidR="001103BD" w:rsidRPr="00411F8E" w:rsidRDefault="001103BD" w:rsidP="001103BD">
    <w:pPr>
      <w:spacing w:before="80"/>
      <w:ind w:left="4536" w:right="190" w:firstLine="787"/>
      <w:rPr>
        <w:rFonts w:eastAsia="Arial" w:cs="Arial"/>
        <w:sz w:val="16"/>
        <w:szCs w:val="16"/>
        <w:lang w:val="en-US"/>
      </w:rPr>
    </w:pPr>
    <w:r>
      <w:rPr>
        <w:noProof/>
        <w:lang w:eastAsia="fr-BE"/>
      </w:rPr>
      <w:drawing>
        <wp:anchor distT="0" distB="0" distL="114300" distR="114300" simplePos="0" relativeHeight="251661824" behindDoc="0" locked="0" layoutInCell="1" allowOverlap="1" wp14:anchorId="4511A5E3" wp14:editId="5115DE5D">
          <wp:simplePos x="0" y="0"/>
          <wp:positionH relativeFrom="page">
            <wp:posOffset>6600825</wp:posOffset>
          </wp:positionH>
          <wp:positionV relativeFrom="paragraph">
            <wp:posOffset>57150</wp:posOffset>
          </wp:positionV>
          <wp:extent cx="934627" cy="327660"/>
          <wp:effectExtent l="0" t="0" r="0" b="0"/>
          <wp:wrapNone/>
          <wp:docPr id="1"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627"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F8E">
      <w:rPr>
        <w:rFonts w:eastAsia="Arial" w:cs="Arial"/>
        <w:spacing w:val="-1"/>
        <w:sz w:val="16"/>
        <w:szCs w:val="16"/>
        <w:lang w:val="en-US"/>
      </w:rPr>
      <w:t>FA2L</w:t>
    </w:r>
    <w:r w:rsidRPr="00411F8E">
      <w:rPr>
        <w:rFonts w:eastAsia="Arial" w:cs="Arial"/>
        <w:sz w:val="16"/>
        <w:szCs w:val="16"/>
        <w:lang w:val="en-US"/>
      </w:rPr>
      <w:t xml:space="preserve"> –</w:t>
    </w:r>
    <w:r w:rsidRPr="00411F8E">
      <w:rPr>
        <w:rFonts w:eastAsia="Arial" w:cs="Arial"/>
        <w:spacing w:val="-2"/>
        <w:sz w:val="16"/>
        <w:szCs w:val="16"/>
        <w:lang w:val="en-US"/>
      </w:rPr>
      <w:t xml:space="preserve"> </w:t>
    </w:r>
    <w:proofErr w:type="spellStart"/>
    <w:r w:rsidRPr="00411F8E">
      <w:rPr>
        <w:rFonts w:eastAsia="Arial" w:cs="Arial"/>
        <w:spacing w:val="-1"/>
        <w:sz w:val="16"/>
        <w:szCs w:val="16"/>
        <w:lang w:val="en-US"/>
      </w:rPr>
      <w:t>Licence</w:t>
    </w:r>
    <w:proofErr w:type="spellEnd"/>
    <w:r w:rsidRPr="00411F8E">
      <w:rPr>
        <w:rFonts w:eastAsia="Arial" w:cs="Arial"/>
        <w:sz w:val="16"/>
        <w:szCs w:val="16"/>
        <w:lang w:val="en-US"/>
      </w:rPr>
      <w:t xml:space="preserve"> </w:t>
    </w:r>
    <w:r w:rsidRPr="00411F8E">
      <w:rPr>
        <w:rFonts w:eastAsia="Arial" w:cs="Arial"/>
        <w:spacing w:val="-1"/>
        <w:sz w:val="16"/>
        <w:szCs w:val="16"/>
        <w:lang w:val="en-US"/>
      </w:rPr>
      <w:t>Creative</w:t>
    </w:r>
    <w:r w:rsidRPr="00411F8E">
      <w:rPr>
        <w:rFonts w:eastAsia="Arial" w:cs="Arial"/>
        <w:sz w:val="16"/>
        <w:szCs w:val="16"/>
        <w:lang w:val="en-US"/>
      </w:rPr>
      <w:t xml:space="preserve"> </w:t>
    </w:r>
    <w:r w:rsidRPr="00411F8E">
      <w:rPr>
        <w:rFonts w:eastAsia="Arial" w:cs="Arial"/>
        <w:spacing w:val="-2"/>
        <w:sz w:val="16"/>
        <w:szCs w:val="16"/>
        <w:lang w:val="en-US"/>
      </w:rPr>
      <w:t>Commons</w:t>
    </w:r>
    <w:r>
      <w:rPr>
        <w:rFonts w:eastAsia="Arial" w:cs="Arial"/>
        <w:sz w:val="16"/>
        <w:szCs w:val="16"/>
        <w:lang w:val="en-US"/>
      </w:rPr>
      <w:br/>
    </w:r>
    <w:r w:rsidRPr="00411F8E">
      <w:rPr>
        <w:rFonts w:eastAsia="Arial" w:cs="Arial"/>
        <w:color w:val="0000FF"/>
        <w:sz w:val="16"/>
        <w:szCs w:val="16"/>
        <w:lang w:val="en-US"/>
      </w:rPr>
      <w:t xml:space="preserve"> </w:t>
    </w:r>
    <w:hyperlink r:id="rId2">
      <w:r w:rsidRPr="00411F8E">
        <w:rPr>
          <w:rFonts w:eastAsia="Arial" w:cs="Arial"/>
          <w:color w:val="0000FF"/>
          <w:spacing w:val="-1"/>
          <w:sz w:val="16"/>
          <w:szCs w:val="16"/>
          <w:u w:val="single" w:color="0000FF"/>
          <w:lang w:val="en-US"/>
        </w:rPr>
        <w:t>https://creativecommons.org/licenses/by-nc-sa/4.0/deed.fr</w:t>
      </w:r>
    </w:hyperlink>
  </w:p>
  <w:p w14:paraId="240205E4" w14:textId="30AE4ED7" w:rsidR="00223E88" w:rsidRPr="001103BD" w:rsidRDefault="00223E88" w:rsidP="001103BD">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DB5F" w14:textId="77777777" w:rsidR="00531057" w:rsidRDefault="00531057">
      <w:r>
        <w:separator/>
      </w:r>
    </w:p>
  </w:footnote>
  <w:footnote w:type="continuationSeparator" w:id="0">
    <w:p w14:paraId="21BE67AA" w14:textId="77777777" w:rsidR="00531057" w:rsidRDefault="00531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A9622" w14:textId="77777777" w:rsidR="00223E88" w:rsidRDefault="00223E88">
    <w:pPr>
      <w:pStyle w:val="En-tte"/>
    </w:pPr>
    <w:r>
      <w:rPr>
        <w:noProof/>
        <w:lang w:eastAsia="fr-BE"/>
      </w:rPr>
      <w:drawing>
        <wp:anchor distT="0" distB="0" distL="114935" distR="114935" simplePos="0" relativeHeight="251657728" behindDoc="1" locked="0" layoutInCell="1" allowOverlap="1" wp14:anchorId="7756309F" wp14:editId="28434022">
          <wp:simplePos x="0" y="0"/>
          <wp:positionH relativeFrom="column">
            <wp:posOffset>-352425</wp:posOffset>
          </wp:positionH>
          <wp:positionV relativeFrom="paragraph">
            <wp:posOffset>-163830</wp:posOffset>
          </wp:positionV>
          <wp:extent cx="639236" cy="540385"/>
          <wp:effectExtent l="0" t="0" r="8890" b="0"/>
          <wp:wrapNone/>
          <wp:docPr id="1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150" cy="542003"/>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Letter"/>
      <w:pStyle w:val="MyPartie"/>
      <w:lvlText w:val="Partie %1 :"/>
      <w:lvlJc w:val="left"/>
      <w:pPr>
        <w:tabs>
          <w:tab w:val="num" w:pos="1145"/>
        </w:tabs>
        <w:ind w:left="1145"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pStyle w:val="Titre4"/>
      <w:lvlText w:val="%4."/>
      <w:lvlJc w:val="left"/>
      <w:pPr>
        <w:tabs>
          <w:tab w:val="num" w:pos="1800"/>
        </w:tabs>
        <w:ind w:left="180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C4F47274"/>
    <w:lvl w:ilvl="0">
      <w:start w:val="1"/>
      <w:numFmt w:val="decimal"/>
      <w:lvlText w:val="%1."/>
      <w:lvlJc w:val="left"/>
      <w:pPr>
        <w:tabs>
          <w:tab w:val="num" w:pos="360"/>
        </w:tabs>
        <w:ind w:left="360" w:hanging="360"/>
      </w:pPr>
      <w:rPr>
        <w:rFonts w:ascii="Monotype Sorts" w:hAnsi="Monotype Sorts"/>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name w:val="WW8Num3"/>
    <w:lvl w:ilvl="0">
      <w:start w:val="1"/>
      <w:numFmt w:val="bullet"/>
      <w:pStyle w:val="MyBulleted-3"/>
      <w:lvlText w:val=""/>
      <w:lvlJc w:val="left"/>
      <w:pPr>
        <w:tabs>
          <w:tab w:val="num" w:pos="2988"/>
        </w:tabs>
        <w:ind w:left="2988" w:hanging="360"/>
      </w:pPr>
      <w:rPr>
        <w:rFonts w:ascii="Symbol" w:hAnsi="Symbol"/>
        <w:color w:val="auto"/>
      </w:rPr>
    </w:lvl>
    <w:lvl w:ilvl="1">
      <w:start w:val="1"/>
      <w:numFmt w:val="bullet"/>
      <w:lvlText w:val="o"/>
      <w:lvlJc w:val="left"/>
      <w:pPr>
        <w:tabs>
          <w:tab w:val="num" w:pos="3283"/>
        </w:tabs>
        <w:ind w:left="3283" w:hanging="360"/>
      </w:pPr>
      <w:rPr>
        <w:rFonts w:ascii="Courier New" w:hAnsi="Courier New" w:cs="Symbol"/>
      </w:rPr>
    </w:lvl>
    <w:lvl w:ilvl="2">
      <w:start w:val="1"/>
      <w:numFmt w:val="bullet"/>
      <w:lvlText w:val=""/>
      <w:lvlJc w:val="left"/>
      <w:pPr>
        <w:tabs>
          <w:tab w:val="num" w:pos="4003"/>
        </w:tabs>
        <w:ind w:left="4003" w:hanging="360"/>
      </w:pPr>
      <w:rPr>
        <w:rFonts w:ascii="Wingdings" w:hAnsi="Wingdings"/>
      </w:rPr>
    </w:lvl>
    <w:lvl w:ilvl="3">
      <w:start w:val="1"/>
      <w:numFmt w:val="bullet"/>
      <w:lvlText w:val=""/>
      <w:lvlJc w:val="left"/>
      <w:pPr>
        <w:tabs>
          <w:tab w:val="num" w:pos="4723"/>
        </w:tabs>
        <w:ind w:left="4723" w:hanging="360"/>
      </w:pPr>
      <w:rPr>
        <w:rFonts w:ascii="Symbol" w:hAnsi="Symbol"/>
      </w:rPr>
    </w:lvl>
    <w:lvl w:ilvl="4">
      <w:start w:val="1"/>
      <w:numFmt w:val="bullet"/>
      <w:lvlText w:val="o"/>
      <w:lvlJc w:val="left"/>
      <w:pPr>
        <w:tabs>
          <w:tab w:val="num" w:pos="5443"/>
        </w:tabs>
        <w:ind w:left="5443" w:hanging="360"/>
      </w:pPr>
      <w:rPr>
        <w:rFonts w:ascii="Courier New" w:hAnsi="Courier New" w:cs="Symbol"/>
      </w:rPr>
    </w:lvl>
    <w:lvl w:ilvl="5">
      <w:start w:val="1"/>
      <w:numFmt w:val="bullet"/>
      <w:lvlText w:val=""/>
      <w:lvlJc w:val="left"/>
      <w:pPr>
        <w:tabs>
          <w:tab w:val="num" w:pos="6163"/>
        </w:tabs>
        <w:ind w:left="6163" w:hanging="360"/>
      </w:pPr>
      <w:rPr>
        <w:rFonts w:ascii="Wingdings" w:hAnsi="Wingdings"/>
      </w:rPr>
    </w:lvl>
    <w:lvl w:ilvl="6">
      <w:start w:val="1"/>
      <w:numFmt w:val="bullet"/>
      <w:lvlText w:val=""/>
      <w:lvlJc w:val="left"/>
      <w:pPr>
        <w:tabs>
          <w:tab w:val="num" w:pos="6883"/>
        </w:tabs>
        <w:ind w:left="6883" w:hanging="360"/>
      </w:pPr>
      <w:rPr>
        <w:rFonts w:ascii="Symbol" w:hAnsi="Symbol"/>
      </w:rPr>
    </w:lvl>
    <w:lvl w:ilvl="7">
      <w:start w:val="1"/>
      <w:numFmt w:val="bullet"/>
      <w:lvlText w:val="o"/>
      <w:lvlJc w:val="left"/>
      <w:pPr>
        <w:tabs>
          <w:tab w:val="num" w:pos="7603"/>
        </w:tabs>
        <w:ind w:left="7603" w:hanging="360"/>
      </w:pPr>
      <w:rPr>
        <w:rFonts w:ascii="Courier New" w:hAnsi="Courier New" w:cs="Symbol"/>
      </w:rPr>
    </w:lvl>
    <w:lvl w:ilvl="8">
      <w:start w:val="1"/>
      <w:numFmt w:val="bullet"/>
      <w:lvlText w:val=""/>
      <w:lvlJc w:val="left"/>
      <w:pPr>
        <w:tabs>
          <w:tab w:val="num" w:pos="8323"/>
        </w:tabs>
        <w:ind w:left="8323" w:hanging="360"/>
      </w:pPr>
      <w:rPr>
        <w:rFonts w:ascii="Wingdings" w:hAnsi="Wingdings"/>
      </w:rPr>
    </w:lvl>
  </w:abstractNum>
  <w:abstractNum w:abstractNumId="3" w15:restartNumberingAfterBreak="0">
    <w:nsid w:val="00000004"/>
    <w:multiLevelType w:val="singleLevel"/>
    <w:tmpl w:val="00000004"/>
    <w:lvl w:ilvl="0">
      <w:start w:val="1"/>
      <w:numFmt w:val="bullet"/>
      <w:pStyle w:val="MyBulleted-1"/>
      <w:lvlText w:val=""/>
      <w:lvlJc w:val="left"/>
      <w:pPr>
        <w:tabs>
          <w:tab w:val="num" w:pos="2988"/>
        </w:tabs>
        <w:ind w:left="2988" w:hanging="360"/>
      </w:pPr>
      <w:rPr>
        <w:rFonts w:ascii="Symbol" w:hAnsi="Symbol"/>
        <w:color w:val="auto"/>
      </w:rPr>
    </w:lvl>
  </w:abstractNum>
  <w:abstractNum w:abstractNumId="4" w15:restartNumberingAfterBreak="0">
    <w:nsid w:val="00000005"/>
    <w:multiLevelType w:val="multilevel"/>
    <w:tmpl w:val="00000005"/>
    <w:name w:val="WW8Num5"/>
    <w:lvl w:ilvl="0">
      <w:start w:val="1"/>
      <w:numFmt w:val="lowerLetter"/>
      <w:pStyle w:val="MyLettered-3"/>
      <w:lvlText w:val="%1."/>
      <w:lvlJc w:val="left"/>
      <w:pPr>
        <w:tabs>
          <w:tab w:val="num" w:pos="2988"/>
        </w:tabs>
        <w:ind w:left="2988" w:hanging="360"/>
      </w:pPr>
      <w:rPr>
        <w:color w:val="auto"/>
      </w:rPr>
    </w:lvl>
    <w:lvl w:ilvl="1">
      <w:start w:val="1"/>
      <w:numFmt w:val="bullet"/>
      <w:lvlText w:val="o"/>
      <w:lvlJc w:val="left"/>
      <w:pPr>
        <w:tabs>
          <w:tab w:val="num" w:pos="3283"/>
        </w:tabs>
        <w:ind w:left="3283" w:hanging="360"/>
      </w:pPr>
      <w:rPr>
        <w:rFonts w:ascii="Courier New" w:hAnsi="Courier New" w:cs="Symbol"/>
      </w:rPr>
    </w:lvl>
    <w:lvl w:ilvl="2">
      <w:start w:val="1"/>
      <w:numFmt w:val="bullet"/>
      <w:lvlText w:val=""/>
      <w:lvlJc w:val="left"/>
      <w:pPr>
        <w:tabs>
          <w:tab w:val="num" w:pos="4003"/>
        </w:tabs>
        <w:ind w:left="4003" w:hanging="360"/>
      </w:pPr>
      <w:rPr>
        <w:rFonts w:ascii="Wingdings" w:hAnsi="Wingdings"/>
      </w:rPr>
    </w:lvl>
    <w:lvl w:ilvl="3">
      <w:start w:val="1"/>
      <w:numFmt w:val="bullet"/>
      <w:lvlText w:val=""/>
      <w:lvlJc w:val="left"/>
      <w:pPr>
        <w:tabs>
          <w:tab w:val="num" w:pos="4723"/>
        </w:tabs>
        <w:ind w:left="4723" w:hanging="360"/>
      </w:pPr>
      <w:rPr>
        <w:rFonts w:ascii="Symbol" w:hAnsi="Symbol"/>
      </w:rPr>
    </w:lvl>
    <w:lvl w:ilvl="4">
      <w:start w:val="1"/>
      <w:numFmt w:val="bullet"/>
      <w:lvlText w:val="o"/>
      <w:lvlJc w:val="left"/>
      <w:pPr>
        <w:tabs>
          <w:tab w:val="num" w:pos="5443"/>
        </w:tabs>
        <w:ind w:left="5443" w:hanging="360"/>
      </w:pPr>
      <w:rPr>
        <w:rFonts w:ascii="Courier New" w:hAnsi="Courier New" w:cs="Symbol"/>
      </w:rPr>
    </w:lvl>
    <w:lvl w:ilvl="5">
      <w:start w:val="1"/>
      <w:numFmt w:val="bullet"/>
      <w:lvlText w:val=""/>
      <w:lvlJc w:val="left"/>
      <w:pPr>
        <w:tabs>
          <w:tab w:val="num" w:pos="6163"/>
        </w:tabs>
        <w:ind w:left="6163" w:hanging="360"/>
      </w:pPr>
      <w:rPr>
        <w:rFonts w:ascii="Wingdings" w:hAnsi="Wingdings"/>
      </w:rPr>
    </w:lvl>
    <w:lvl w:ilvl="6">
      <w:start w:val="1"/>
      <w:numFmt w:val="bullet"/>
      <w:lvlText w:val=""/>
      <w:lvlJc w:val="left"/>
      <w:pPr>
        <w:tabs>
          <w:tab w:val="num" w:pos="6883"/>
        </w:tabs>
        <w:ind w:left="6883" w:hanging="360"/>
      </w:pPr>
      <w:rPr>
        <w:rFonts w:ascii="Symbol" w:hAnsi="Symbol"/>
      </w:rPr>
    </w:lvl>
    <w:lvl w:ilvl="7">
      <w:start w:val="1"/>
      <w:numFmt w:val="bullet"/>
      <w:lvlText w:val="o"/>
      <w:lvlJc w:val="left"/>
      <w:pPr>
        <w:tabs>
          <w:tab w:val="num" w:pos="7603"/>
        </w:tabs>
        <w:ind w:left="7603" w:hanging="360"/>
      </w:pPr>
      <w:rPr>
        <w:rFonts w:ascii="Courier New" w:hAnsi="Courier New" w:cs="Symbol"/>
      </w:rPr>
    </w:lvl>
    <w:lvl w:ilvl="8">
      <w:start w:val="1"/>
      <w:numFmt w:val="bullet"/>
      <w:lvlText w:val=""/>
      <w:lvlJc w:val="left"/>
      <w:pPr>
        <w:tabs>
          <w:tab w:val="num" w:pos="8323"/>
        </w:tabs>
        <w:ind w:left="8323" w:hanging="360"/>
      </w:pPr>
      <w:rPr>
        <w:rFonts w:ascii="Wingdings" w:hAnsi="Wingdings"/>
      </w:rPr>
    </w:lvl>
  </w:abstractNum>
  <w:abstractNum w:abstractNumId="5" w15:restartNumberingAfterBreak="0">
    <w:nsid w:val="002F3856"/>
    <w:multiLevelType w:val="multilevel"/>
    <w:tmpl w:val="63AE5EE8"/>
    <w:lvl w:ilvl="0">
      <w:start w:val="11"/>
      <w:numFmt w:val="decimal"/>
      <w:pStyle w:val="MySection"/>
      <w:lvlText w:val="%1."/>
      <w:lvlJc w:val="left"/>
      <w:pPr>
        <w:tabs>
          <w:tab w:val="num" w:pos="786"/>
        </w:tabs>
        <w:ind w:left="786" w:hanging="360"/>
      </w:pPr>
      <w:rPr>
        <w:rFonts w:hint="default"/>
        <w:b/>
        <w:i w:val="0"/>
        <w:caps w:val="0"/>
        <w:strike w:val="0"/>
        <w:dstrike w:val="0"/>
        <w:vanish w:val="0"/>
        <w:vertAlign w:val="baseline"/>
      </w:rPr>
    </w:lvl>
    <w:lvl w:ilvl="1">
      <w:start w:val="1"/>
      <w:numFmt w:val="decimal"/>
      <w:lvlText w:val="%1.%2."/>
      <w:lvlJc w:val="left"/>
      <w:pPr>
        <w:tabs>
          <w:tab w:val="num" w:pos="1142"/>
        </w:tabs>
        <w:ind w:left="1142" w:hanging="432"/>
      </w:pPr>
      <w:rPr>
        <w:rFonts w:hint="default"/>
        <w:b w:val="0"/>
        <w:i w:val="0"/>
        <w:color w:val="auto"/>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DA692B"/>
    <w:multiLevelType w:val="hybridMultilevel"/>
    <w:tmpl w:val="EBE8C43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065F080A"/>
    <w:multiLevelType w:val="hybridMultilevel"/>
    <w:tmpl w:val="35EAC0DA"/>
    <w:lvl w:ilvl="0" w:tplc="04090003">
      <w:start w:val="1"/>
      <w:numFmt w:val="bullet"/>
      <w:lvlText w:val="o"/>
      <w:lvlJc w:val="left"/>
      <w:pPr>
        <w:tabs>
          <w:tab w:val="num" w:pos="1287"/>
        </w:tabs>
        <w:ind w:left="1287" w:hanging="360"/>
      </w:pPr>
      <w:rPr>
        <w:rFonts w:ascii="Courier New" w:hAnsi="Courier New"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06D5497D"/>
    <w:multiLevelType w:val="hybridMultilevel"/>
    <w:tmpl w:val="113EE668"/>
    <w:lvl w:ilvl="0" w:tplc="080C0001">
      <w:start w:val="1"/>
      <w:numFmt w:val="bullet"/>
      <w:lvlText w:val=""/>
      <w:lvlJc w:val="left"/>
      <w:pPr>
        <w:ind w:left="2205" w:hanging="360"/>
      </w:pPr>
      <w:rPr>
        <w:rFonts w:ascii="Symbol" w:hAnsi="Symbol" w:hint="default"/>
      </w:rPr>
    </w:lvl>
    <w:lvl w:ilvl="1" w:tplc="080C0003" w:tentative="1">
      <w:start w:val="1"/>
      <w:numFmt w:val="bullet"/>
      <w:lvlText w:val="o"/>
      <w:lvlJc w:val="left"/>
      <w:pPr>
        <w:ind w:left="2925" w:hanging="360"/>
      </w:pPr>
      <w:rPr>
        <w:rFonts w:ascii="Courier New" w:hAnsi="Courier New" w:cs="Courier New" w:hint="default"/>
      </w:rPr>
    </w:lvl>
    <w:lvl w:ilvl="2" w:tplc="080C0005" w:tentative="1">
      <w:start w:val="1"/>
      <w:numFmt w:val="bullet"/>
      <w:lvlText w:val=""/>
      <w:lvlJc w:val="left"/>
      <w:pPr>
        <w:ind w:left="3645" w:hanging="360"/>
      </w:pPr>
      <w:rPr>
        <w:rFonts w:ascii="Wingdings" w:hAnsi="Wingdings" w:hint="default"/>
      </w:rPr>
    </w:lvl>
    <w:lvl w:ilvl="3" w:tplc="080C0001" w:tentative="1">
      <w:start w:val="1"/>
      <w:numFmt w:val="bullet"/>
      <w:lvlText w:val=""/>
      <w:lvlJc w:val="left"/>
      <w:pPr>
        <w:ind w:left="4365" w:hanging="360"/>
      </w:pPr>
      <w:rPr>
        <w:rFonts w:ascii="Symbol" w:hAnsi="Symbol" w:hint="default"/>
      </w:rPr>
    </w:lvl>
    <w:lvl w:ilvl="4" w:tplc="080C0003" w:tentative="1">
      <w:start w:val="1"/>
      <w:numFmt w:val="bullet"/>
      <w:lvlText w:val="o"/>
      <w:lvlJc w:val="left"/>
      <w:pPr>
        <w:ind w:left="5085" w:hanging="360"/>
      </w:pPr>
      <w:rPr>
        <w:rFonts w:ascii="Courier New" w:hAnsi="Courier New" w:cs="Courier New" w:hint="default"/>
      </w:rPr>
    </w:lvl>
    <w:lvl w:ilvl="5" w:tplc="080C0005" w:tentative="1">
      <w:start w:val="1"/>
      <w:numFmt w:val="bullet"/>
      <w:lvlText w:val=""/>
      <w:lvlJc w:val="left"/>
      <w:pPr>
        <w:ind w:left="5805" w:hanging="360"/>
      </w:pPr>
      <w:rPr>
        <w:rFonts w:ascii="Wingdings" w:hAnsi="Wingdings" w:hint="default"/>
      </w:rPr>
    </w:lvl>
    <w:lvl w:ilvl="6" w:tplc="080C0001" w:tentative="1">
      <w:start w:val="1"/>
      <w:numFmt w:val="bullet"/>
      <w:lvlText w:val=""/>
      <w:lvlJc w:val="left"/>
      <w:pPr>
        <w:ind w:left="6525" w:hanging="360"/>
      </w:pPr>
      <w:rPr>
        <w:rFonts w:ascii="Symbol" w:hAnsi="Symbol" w:hint="default"/>
      </w:rPr>
    </w:lvl>
    <w:lvl w:ilvl="7" w:tplc="080C0003" w:tentative="1">
      <w:start w:val="1"/>
      <w:numFmt w:val="bullet"/>
      <w:lvlText w:val="o"/>
      <w:lvlJc w:val="left"/>
      <w:pPr>
        <w:ind w:left="7245" w:hanging="360"/>
      </w:pPr>
      <w:rPr>
        <w:rFonts w:ascii="Courier New" w:hAnsi="Courier New" w:cs="Courier New" w:hint="default"/>
      </w:rPr>
    </w:lvl>
    <w:lvl w:ilvl="8" w:tplc="080C0005" w:tentative="1">
      <w:start w:val="1"/>
      <w:numFmt w:val="bullet"/>
      <w:lvlText w:val=""/>
      <w:lvlJc w:val="left"/>
      <w:pPr>
        <w:ind w:left="7965" w:hanging="360"/>
      </w:pPr>
      <w:rPr>
        <w:rFonts w:ascii="Wingdings" w:hAnsi="Wingdings" w:hint="default"/>
      </w:rPr>
    </w:lvl>
  </w:abstractNum>
  <w:abstractNum w:abstractNumId="9" w15:restartNumberingAfterBreak="0">
    <w:nsid w:val="0DB176DE"/>
    <w:multiLevelType w:val="multilevel"/>
    <w:tmpl w:val="0D84D110"/>
    <w:lvl w:ilvl="0">
      <w:start w:val="1"/>
      <w:numFmt w:val="decimal"/>
      <w:lvlText w:val="%1."/>
      <w:lvlJc w:val="left"/>
      <w:pPr>
        <w:tabs>
          <w:tab w:val="num" w:pos="786"/>
        </w:tabs>
        <w:ind w:left="786" w:hanging="360"/>
      </w:pPr>
      <w:rPr>
        <w:rFonts w:hint="default"/>
        <w:b/>
        <w:i w:val="0"/>
        <w:caps w:val="0"/>
        <w:strike w:val="0"/>
        <w:dstrike w:val="0"/>
        <w:vanish w:val="0"/>
        <w:vertAlign w:val="baseline"/>
      </w:rPr>
    </w:lvl>
    <w:lvl w:ilvl="1">
      <w:start w:val="1"/>
      <w:numFmt w:val="decimal"/>
      <w:lvlText w:val="%1.%2."/>
      <w:lvlJc w:val="left"/>
      <w:pPr>
        <w:tabs>
          <w:tab w:val="num" w:pos="1142"/>
        </w:tabs>
        <w:ind w:left="1142" w:hanging="432"/>
      </w:pPr>
      <w:rPr>
        <w:rFonts w:hint="default"/>
        <w:b w:val="0"/>
        <w:i w:val="0"/>
        <w:color w:val="auto"/>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DE8252A"/>
    <w:multiLevelType w:val="hybridMultilevel"/>
    <w:tmpl w:val="90405EAC"/>
    <w:lvl w:ilvl="0" w:tplc="67CEE436">
      <w:start w:val="1"/>
      <w:numFmt w:val="decimal"/>
      <w:lvlText w:val="%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2CC522E"/>
    <w:multiLevelType w:val="hybridMultilevel"/>
    <w:tmpl w:val="F3D0294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681055C"/>
    <w:multiLevelType w:val="hybridMultilevel"/>
    <w:tmpl w:val="8B6C1116"/>
    <w:lvl w:ilvl="0" w:tplc="B1382A2C">
      <w:start w:val="1"/>
      <w:numFmt w:val="decimal"/>
      <w:lvlText w:val="%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0F21C19"/>
    <w:multiLevelType w:val="hybridMultilevel"/>
    <w:tmpl w:val="27D21474"/>
    <w:lvl w:ilvl="0" w:tplc="080C0017">
      <w:start w:val="1"/>
      <w:numFmt w:val="lowerLetter"/>
      <w:lvlText w:val="%1)"/>
      <w:lvlJc w:val="left"/>
      <w:pPr>
        <w:ind w:left="2205" w:hanging="360"/>
      </w:pPr>
      <w:rPr>
        <w:rFonts w:hint="default"/>
      </w:rPr>
    </w:lvl>
    <w:lvl w:ilvl="1" w:tplc="080C0003" w:tentative="1">
      <w:start w:val="1"/>
      <w:numFmt w:val="bullet"/>
      <w:lvlText w:val="o"/>
      <w:lvlJc w:val="left"/>
      <w:pPr>
        <w:ind w:left="2925" w:hanging="360"/>
      </w:pPr>
      <w:rPr>
        <w:rFonts w:ascii="Courier New" w:hAnsi="Courier New" w:cs="Courier New" w:hint="default"/>
      </w:rPr>
    </w:lvl>
    <w:lvl w:ilvl="2" w:tplc="080C0005" w:tentative="1">
      <w:start w:val="1"/>
      <w:numFmt w:val="bullet"/>
      <w:lvlText w:val=""/>
      <w:lvlJc w:val="left"/>
      <w:pPr>
        <w:ind w:left="3645" w:hanging="360"/>
      </w:pPr>
      <w:rPr>
        <w:rFonts w:ascii="Wingdings" w:hAnsi="Wingdings" w:hint="default"/>
      </w:rPr>
    </w:lvl>
    <w:lvl w:ilvl="3" w:tplc="080C0001" w:tentative="1">
      <w:start w:val="1"/>
      <w:numFmt w:val="bullet"/>
      <w:lvlText w:val=""/>
      <w:lvlJc w:val="left"/>
      <w:pPr>
        <w:ind w:left="4365" w:hanging="360"/>
      </w:pPr>
      <w:rPr>
        <w:rFonts w:ascii="Symbol" w:hAnsi="Symbol" w:hint="default"/>
      </w:rPr>
    </w:lvl>
    <w:lvl w:ilvl="4" w:tplc="080C0003" w:tentative="1">
      <w:start w:val="1"/>
      <w:numFmt w:val="bullet"/>
      <w:lvlText w:val="o"/>
      <w:lvlJc w:val="left"/>
      <w:pPr>
        <w:ind w:left="5085" w:hanging="360"/>
      </w:pPr>
      <w:rPr>
        <w:rFonts w:ascii="Courier New" w:hAnsi="Courier New" w:cs="Courier New" w:hint="default"/>
      </w:rPr>
    </w:lvl>
    <w:lvl w:ilvl="5" w:tplc="080C0005" w:tentative="1">
      <w:start w:val="1"/>
      <w:numFmt w:val="bullet"/>
      <w:lvlText w:val=""/>
      <w:lvlJc w:val="left"/>
      <w:pPr>
        <w:ind w:left="5805" w:hanging="360"/>
      </w:pPr>
      <w:rPr>
        <w:rFonts w:ascii="Wingdings" w:hAnsi="Wingdings" w:hint="default"/>
      </w:rPr>
    </w:lvl>
    <w:lvl w:ilvl="6" w:tplc="080C0001" w:tentative="1">
      <w:start w:val="1"/>
      <w:numFmt w:val="bullet"/>
      <w:lvlText w:val=""/>
      <w:lvlJc w:val="left"/>
      <w:pPr>
        <w:ind w:left="6525" w:hanging="360"/>
      </w:pPr>
      <w:rPr>
        <w:rFonts w:ascii="Symbol" w:hAnsi="Symbol" w:hint="default"/>
      </w:rPr>
    </w:lvl>
    <w:lvl w:ilvl="7" w:tplc="080C0003" w:tentative="1">
      <w:start w:val="1"/>
      <w:numFmt w:val="bullet"/>
      <w:lvlText w:val="o"/>
      <w:lvlJc w:val="left"/>
      <w:pPr>
        <w:ind w:left="7245" w:hanging="360"/>
      </w:pPr>
      <w:rPr>
        <w:rFonts w:ascii="Courier New" w:hAnsi="Courier New" w:cs="Courier New" w:hint="default"/>
      </w:rPr>
    </w:lvl>
    <w:lvl w:ilvl="8" w:tplc="080C0005" w:tentative="1">
      <w:start w:val="1"/>
      <w:numFmt w:val="bullet"/>
      <w:lvlText w:val=""/>
      <w:lvlJc w:val="left"/>
      <w:pPr>
        <w:ind w:left="7965" w:hanging="360"/>
      </w:pPr>
      <w:rPr>
        <w:rFonts w:ascii="Wingdings" w:hAnsi="Wingdings" w:hint="default"/>
      </w:rPr>
    </w:lvl>
  </w:abstractNum>
  <w:abstractNum w:abstractNumId="14" w15:restartNumberingAfterBreak="0">
    <w:nsid w:val="2413376D"/>
    <w:multiLevelType w:val="hybridMultilevel"/>
    <w:tmpl w:val="3CD0587A"/>
    <w:lvl w:ilvl="0" w:tplc="080C000F">
      <w:start w:val="1"/>
      <w:numFmt w:val="decimal"/>
      <w:lvlText w:val="%1."/>
      <w:lvlJc w:val="left"/>
      <w:pPr>
        <w:ind w:left="2205" w:hanging="360"/>
      </w:pPr>
      <w:rPr>
        <w:rFonts w:hint="default"/>
      </w:rPr>
    </w:lvl>
    <w:lvl w:ilvl="1" w:tplc="080C0003" w:tentative="1">
      <w:start w:val="1"/>
      <w:numFmt w:val="bullet"/>
      <w:lvlText w:val="o"/>
      <w:lvlJc w:val="left"/>
      <w:pPr>
        <w:ind w:left="2925" w:hanging="360"/>
      </w:pPr>
      <w:rPr>
        <w:rFonts w:ascii="Courier New" w:hAnsi="Courier New" w:cs="Courier New" w:hint="default"/>
      </w:rPr>
    </w:lvl>
    <w:lvl w:ilvl="2" w:tplc="080C0005" w:tentative="1">
      <w:start w:val="1"/>
      <w:numFmt w:val="bullet"/>
      <w:lvlText w:val=""/>
      <w:lvlJc w:val="left"/>
      <w:pPr>
        <w:ind w:left="3645" w:hanging="360"/>
      </w:pPr>
      <w:rPr>
        <w:rFonts w:ascii="Wingdings" w:hAnsi="Wingdings" w:hint="default"/>
      </w:rPr>
    </w:lvl>
    <w:lvl w:ilvl="3" w:tplc="080C0001" w:tentative="1">
      <w:start w:val="1"/>
      <w:numFmt w:val="bullet"/>
      <w:lvlText w:val=""/>
      <w:lvlJc w:val="left"/>
      <w:pPr>
        <w:ind w:left="4365" w:hanging="360"/>
      </w:pPr>
      <w:rPr>
        <w:rFonts w:ascii="Symbol" w:hAnsi="Symbol" w:hint="default"/>
      </w:rPr>
    </w:lvl>
    <w:lvl w:ilvl="4" w:tplc="080C0003" w:tentative="1">
      <w:start w:val="1"/>
      <w:numFmt w:val="bullet"/>
      <w:lvlText w:val="o"/>
      <w:lvlJc w:val="left"/>
      <w:pPr>
        <w:ind w:left="5085" w:hanging="360"/>
      </w:pPr>
      <w:rPr>
        <w:rFonts w:ascii="Courier New" w:hAnsi="Courier New" w:cs="Courier New" w:hint="default"/>
      </w:rPr>
    </w:lvl>
    <w:lvl w:ilvl="5" w:tplc="080C0005" w:tentative="1">
      <w:start w:val="1"/>
      <w:numFmt w:val="bullet"/>
      <w:lvlText w:val=""/>
      <w:lvlJc w:val="left"/>
      <w:pPr>
        <w:ind w:left="5805" w:hanging="360"/>
      </w:pPr>
      <w:rPr>
        <w:rFonts w:ascii="Wingdings" w:hAnsi="Wingdings" w:hint="default"/>
      </w:rPr>
    </w:lvl>
    <w:lvl w:ilvl="6" w:tplc="080C0001" w:tentative="1">
      <w:start w:val="1"/>
      <w:numFmt w:val="bullet"/>
      <w:lvlText w:val=""/>
      <w:lvlJc w:val="left"/>
      <w:pPr>
        <w:ind w:left="6525" w:hanging="360"/>
      </w:pPr>
      <w:rPr>
        <w:rFonts w:ascii="Symbol" w:hAnsi="Symbol" w:hint="default"/>
      </w:rPr>
    </w:lvl>
    <w:lvl w:ilvl="7" w:tplc="080C0003" w:tentative="1">
      <w:start w:val="1"/>
      <w:numFmt w:val="bullet"/>
      <w:lvlText w:val="o"/>
      <w:lvlJc w:val="left"/>
      <w:pPr>
        <w:ind w:left="7245" w:hanging="360"/>
      </w:pPr>
      <w:rPr>
        <w:rFonts w:ascii="Courier New" w:hAnsi="Courier New" w:cs="Courier New" w:hint="default"/>
      </w:rPr>
    </w:lvl>
    <w:lvl w:ilvl="8" w:tplc="080C0005" w:tentative="1">
      <w:start w:val="1"/>
      <w:numFmt w:val="bullet"/>
      <w:lvlText w:val=""/>
      <w:lvlJc w:val="left"/>
      <w:pPr>
        <w:ind w:left="7965" w:hanging="360"/>
      </w:pPr>
      <w:rPr>
        <w:rFonts w:ascii="Wingdings" w:hAnsi="Wingdings" w:hint="default"/>
      </w:rPr>
    </w:lvl>
  </w:abstractNum>
  <w:abstractNum w:abstractNumId="15" w15:restartNumberingAfterBreak="0">
    <w:nsid w:val="2A3D30DB"/>
    <w:multiLevelType w:val="hybridMultilevel"/>
    <w:tmpl w:val="189EC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91383D"/>
    <w:multiLevelType w:val="multilevel"/>
    <w:tmpl w:val="00000003"/>
    <w:lvl w:ilvl="0">
      <w:start w:val="1"/>
      <w:numFmt w:val="bullet"/>
      <w:lvlText w:val="o"/>
      <w:lvlJc w:val="left"/>
      <w:pPr>
        <w:tabs>
          <w:tab w:val="num" w:pos="1854"/>
        </w:tabs>
        <w:ind w:left="1854" w:hanging="360"/>
      </w:pPr>
      <w:rPr>
        <w:rFonts w:ascii="Courier New" w:hAnsi="Courier New" w:hint="default"/>
      </w:rPr>
    </w:lvl>
    <w:lvl w:ilvl="1">
      <w:start w:val="1"/>
      <w:numFmt w:val="bullet"/>
      <w:lvlText w:val="o"/>
      <w:lvlJc w:val="left"/>
      <w:pPr>
        <w:tabs>
          <w:tab w:val="num" w:pos="3283"/>
        </w:tabs>
        <w:ind w:left="3283" w:hanging="360"/>
      </w:pPr>
      <w:rPr>
        <w:rFonts w:ascii="Courier New" w:hAnsi="Courier New" w:cs="Symbol"/>
      </w:rPr>
    </w:lvl>
    <w:lvl w:ilvl="2">
      <w:start w:val="1"/>
      <w:numFmt w:val="bullet"/>
      <w:lvlText w:val=""/>
      <w:lvlJc w:val="left"/>
      <w:pPr>
        <w:tabs>
          <w:tab w:val="num" w:pos="4003"/>
        </w:tabs>
        <w:ind w:left="4003" w:hanging="360"/>
      </w:pPr>
      <w:rPr>
        <w:rFonts w:ascii="Wingdings" w:hAnsi="Wingdings"/>
      </w:rPr>
    </w:lvl>
    <w:lvl w:ilvl="3">
      <w:start w:val="1"/>
      <w:numFmt w:val="bullet"/>
      <w:lvlText w:val=""/>
      <w:lvlJc w:val="left"/>
      <w:pPr>
        <w:tabs>
          <w:tab w:val="num" w:pos="4723"/>
        </w:tabs>
        <w:ind w:left="4723" w:hanging="360"/>
      </w:pPr>
      <w:rPr>
        <w:rFonts w:ascii="Symbol" w:hAnsi="Symbol"/>
      </w:rPr>
    </w:lvl>
    <w:lvl w:ilvl="4">
      <w:start w:val="1"/>
      <w:numFmt w:val="bullet"/>
      <w:lvlText w:val="o"/>
      <w:lvlJc w:val="left"/>
      <w:pPr>
        <w:tabs>
          <w:tab w:val="num" w:pos="5443"/>
        </w:tabs>
        <w:ind w:left="5443" w:hanging="360"/>
      </w:pPr>
      <w:rPr>
        <w:rFonts w:ascii="Courier New" w:hAnsi="Courier New" w:cs="Symbol"/>
      </w:rPr>
    </w:lvl>
    <w:lvl w:ilvl="5">
      <w:start w:val="1"/>
      <w:numFmt w:val="bullet"/>
      <w:lvlText w:val=""/>
      <w:lvlJc w:val="left"/>
      <w:pPr>
        <w:tabs>
          <w:tab w:val="num" w:pos="6163"/>
        </w:tabs>
        <w:ind w:left="6163" w:hanging="360"/>
      </w:pPr>
      <w:rPr>
        <w:rFonts w:ascii="Wingdings" w:hAnsi="Wingdings"/>
      </w:rPr>
    </w:lvl>
    <w:lvl w:ilvl="6">
      <w:start w:val="1"/>
      <w:numFmt w:val="bullet"/>
      <w:lvlText w:val=""/>
      <w:lvlJc w:val="left"/>
      <w:pPr>
        <w:tabs>
          <w:tab w:val="num" w:pos="6883"/>
        </w:tabs>
        <w:ind w:left="6883" w:hanging="360"/>
      </w:pPr>
      <w:rPr>
        <w:rFonts w:ascii="Symbol" w:hAnsi="Symbol"/>
      </w:rPr>
    </w:lvl>
    <w:lvl w:ilvl="7">
      <w:start w:val="1"/>
      <w:numFmt w:val="bullet"/>
      <w:lvlText w:val="o"/>
      <w:lvlJc w:val="left"/>
      <w:pPr>
        <w:tabs>
          <w:tab w:val="num" w:pos="7603"/>
        </w:tabs>
        <w:ind w:left="7603" w:hanging="360"/>
      </w:pPr>
      <w:rPr>
        <w:rFonts w:ascii="Courier New" w:hAnsi="Courier New" w:cs="Symbol"/>
      </w:rPr>
    </w:lvl>
    <w:lvl w:ilvl="8">
      <w:start w:val="1"/>
      <w:numFmt w:val="bullet"/>
      <w:lvlText w:val=""/>
      <w:lvlJc w:val="left"/>
      <w:pPr>
        <w:tabs>
          <w:tab w:val="num" w:pos="8323"/>
        </w:tabs>
        <w:ind w:left="8323" w:hanging="360"/>
      </w:pPr>
      <w:rPr>
        <w:rFonts w:ascii="Wingdings" w:hAnsi="Wingdings"/>
      </w:rPr>
    </w:lvl>
  </w:abstractNum>
  <w:abstractNum w:abstractNumId="17" w15:restartNumberingAfterBreak="0">
    <w:nsid w:val="30347D29"/>
    <w:multiLevelType w:val="multilevel"/>
    <w:tmpl w:val="00000003"/>
    <w:lvl w:ilvl="0">
      <w:start w:val="1"/>
      <w:numFmt w:val="bullet"/>
      <w:lvlText w:val="o"/>
      <w:lvlJc w:val="left"/>
      <w:pPr>
        <w:tabs>
          <w:tab w:val="num" w:pos="2988"/>
        </w:tabs>
        <w:ind w:left="2988" w:hanging="360"/>
      </w:pPr>
      <w:rPr>
        <w:rFonts w:ascii="Courier New" w:hAnsi="Courier New" w:hint="default"/>
      </w:rPr>
    </w:lvl>
    <w:lvl w:ilvl="1">
      <w:start w:val="1"/>
      <w:numFmt w:val="bullet"/>
      <w:lvlText w:val="o"/>
      <w:lvlJc w:val="left"/>
      <w:pPr>
        <w:tabs>
          <w:tab w:val="num" w:pos="3283"/>
        </w:tabs>
        <w:ind w:left="3283" w:hanging="360"/>
      </w:pPr>
      <w:rPr>
        <w:rFonts w:ascii="Courier New" w:hAnsi="Courier New" w:cs="Symbol"/>
      </w:rPr>
    </w:lvl>
    <w:lvl w:ilvl="2">
      <w:start w:val="1"/>
      <w:numFmt w:val="bullet"/>
      <w:lvlText w:val=""/>
      <w:lvlJc w:val="left"/>
      <w:pPr>
        <w:tabs>
          <w:tab w:val="num" w:pos="4003"/>
        </w:tabs>
        <w:ind w:left="4003" w:hanging="360"/>
      </w:pPr>
      <w:rPr>
        <w:rFonts w:ascii="Wingdings" w:hAnsi="Wingdings"/>
      </w:rPr>
    </w:lvl>
    <w:lvl w:ilvl="3">
      <w:start w:val="1"/>
      <w:numFmt w:val="bullet"/>
      <w:lvlText w:val=""/>
      <w:lvlJc w:val="left"/>
      <w:pPr>
        <w:tabs>
          <w:tab w:val="num" w:pos="4723"/>
        </w:tabs>
        <w:ind w:left="4723" w:hanging="360"/>
      </w:pPr>
      <w:rPr>
        <w:rFonts w:ascii="Symbol" w:hAnsi="Symbol"/>
      </w:rPr>
    </w:lvl>
    <w:lvl w:ilvl="4">
      <w:start w:val="1"/>
      <w:numFmt w:val="bullet"/>
      <w:lvlText w:val="o"/>
      <w:lvlJc w:val="left"/>
      <w:pPr>
        <w:tabs>
          <w:tab w:val="num" w:pos="5443"/>
        </w:tabs>
        <w:ind w:left="5443" w:hanging="360"/>
      </w:pPr>
      <w:rPr>
        <w:rFonts w:ascii="Courier New" w:hAnsi="Courier New" w:cs="Symbol"/>
      </w:rPr>
    </w:lvl>
    <w:lvl w:ilvl="5">
      <w:start w:val="1"/>
      <w:numFmt w:val="bullet"/>
      <w:lvlText w:val=""/>
      <w:lvlJc w:val="left"/>
      <w:pPr>
        <w:tabs>
          <w:tab w:val="num" w:pos="6163"/>
        </w:tabs>
        <w:ind w:left="6163" w:hanging="360"/>
      </w:pPr>
      <w:rPr>
        <w:rFonts w:ascii="Wingdings" w:hAnsi="Wingdings"/>
      </w:rPr>
    </w:lvl>
    <w:lvl w:ilvl="6">
      <w:start w:val="1"/>
      <w:numFmt w:val="bullet"/>
      <w:lvlText w:val=""/>
      <w:lvlJc w:val="left"/>
      <w:pPr>
        <w:tabs>
          <w:tab w:val="num" w:pos="6883"/>
        </w:tabs>
        <w:ind w:left="6883" w:hanging="360"/>
      </w:pPr>
      <w:rPr>
        <w:rFonts w:ascii="Symbol" w:hAnsi="Symbol"/>
      </w:rPr>
    </w:lvl>
    <w:lvl w:ilvl="7">
      <w:start w:val="1"/>
      <w:numFmt w:val="bullet"/>
      <w:lvlText w:val="o"/>
      <w:lvlJc w:val="left"/>
      <w:pPr>
        <w:tabs>
          <w:tab w:val="num" w:pos="7603"/>
        </w:tabs>
        <w:ind w:left="7603" w:hanging="360"/>
      </w:pPr>
      <w:rPr>
        <w:rFonts w:ascii="Courier New" w:hAnsi="Courier New" w:cs="Symbol"/>
      </w:rPr>
    </w:lvl>
    <w:lvl w:ilvl="8">
      <w:start w:val="1"/>
      <w:numFmt w:val="bullet"/>
      <w:lvlText w:val=""/>
      <w:lvlJc w:val="left"/>
      <w:pPr>
        <w:tabs>
          <w:tab w:val="num" w:pos="8323"/>
        </w:tabs>
        <w:ind w:left="8323" w:hanging="360"/>
      </w:pPr>
      <w:rPr>
        <w:rFonts w:ascii="Wingdings" w:hAnsi="Wingdings"/>
      </w:rPr>
    </w:lvl>
  </w:abstractNum>
  <w:abstractNum w:abstractNumId="18" w15:restartNumberingAfterBreak="0">
    <w:nsid w:val="34BA0DC6"/>
    <w:multiLevelType w:val="hybridMultilevel"/>
    <w:tmpl w:val="1932F3E4"/>
    <w:lvl w:ilvl="0" w:tplc="04090003">
      <w:start w:val="1"/>
      <w:numFmt w:val="bullet"/>
      <w:lvlText w:val="o"/>
      <w:lvlJc w:val="left"/>
      <w:pPr>
        <w:tabs>
          <w:tab w:val="num" w:pos="1287"/>
        </w:tabs>
        <w:ind w:left="1287" w:hanging="360"/>
      </w:pPr>
      <w:rPr>
        <w:rFonts w:ascii="Courier New" w:hAnsi="Courier New"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67847BA"/>
    <w:multiLevelType w:val="hybridMultilevel"/>
    <w:tmpl w:val="C212CD72"/>
    <w:lvl w:ilvl="0" w:tplc="04090003">
      <w:start w:val="1"/>
      <w:numFmt w:val="bullet"/>
      <w:lvlText w:val="o"/>
      <w:lvlJc w:val="left"/>
      <w:pPr>
        <w:tabs>
          <w:tab w:val="num" w:pos="2988"/>
        </w:tabs>
        <w:ind w:left="2988" w:hanging="360"/>
      </w:pPr>
      <w:rPr>
        <w:rFonts w:ascii="Courier New" w:hAnsi="Courier New" w:hint="default"/>
      </w:rPr>
    </w:lvl>
    <w:lvl w:ilvl="1" w:tplc="04090003" w:tentative="1">
      <w:start w:val="1"/>
      <w:numFmt w:val="bullet"/>
      <w:lvlText w:val="o"/>
      <w:lvlJc w:val="left"/>
      <w:pPr>
        <w:tabs>
          <w:tab w:val="num" w:pos="3708"/>
        </w:tabs>
        <w:ind w:left="3708" w:hanging="360"/>
      </w:pPr>
      <w:rPr>
        <w:rFonts w:ascii="Courier New" w:hAnsi="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07056E3"/>
    <w:multiLevelType w:val="hybridMultilevel"/>
    <w:tmpl w:val="93D4C7F4"/>
    <w:lvl w:ilvl="0" w:tplc="58A2CEA4">
      <w:start w:val="1"/>
      <w:numFmt w:val="bullet"/>
      <w:pStyle w:val="Bulleted"/>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37E72DF"/>
    <w:multiLevelType w:val="hybridMultilevel"/>
    <w:tmpl w:val="5810DD18"/>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2" w15:restartNumberingAfterBreak="0">
    <w:nsid w:val="451870A7"/>
    <w:multiLevelType w:val="hybridMultilevel"/>
    <w:tmpl w:val="0F9E7AC6"/>
    <w:lvl w:ilvl="0" w:tplc="04090003">
      <w:start w:val="1"/>
      <w:numFmt w:val="bullet"/>
      <w:lvlText w:val="o"/>
      <w:lvlJc w:val="left"/>
      <w:pPr>
        <w:tabs>
          <w:tab w:val="num" w:pos="1287"/>
        </w:tabs>
        <w:ind w:left="1287" w:hanging="360"/>
      </w:pPr>
      <w:rPr>
        <w:rFonts w:ascii="Courier New" w:hAnsi="Courier New"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46F02304"/>
    <w:multiLevelType w:val="hybridMultilevel"/>
    <w:tmpl w:val="22E4DE84"/>
    <w:lvl w:ilvl="0" w:tplc="0409000F">
      <w:start w:val="1"/>
      <w:numFmt w:val="decimal"/>
      <w:lvlText w:val="%1."/>
      <w:lvlJc w:val="left"/>
      <w:pPr>
        <w:tabs>
          <w:tab w:val="num" w:pos="720"/>
        </w:tabs>
        <w:ind w:left="720" w:hanging="360"/>
      </w:pPr>
    </w:lvl>
    <w:lvl w:ilvl="1" w:tplc="F18E95EC">
      <w:start w:val="1"/>
      <w:numFmt w:val="bullet"/>
      <w:lvlText w:val=""/>
      <w:lvlJc w:val="left"/>
      <w:pPr>
        <w:tabs>
          <w:tab w:val="num" w:pos="1440"/>
        </w:tabs>
        <w:ind w:left="1440" w:hanging="360"/>
      </w:pPr>
      <w:rPr>
        <w:rFonts w:ascii="Symbol" w:hAnsi="Symbol" w:hint="default"/>
        <w:color w:val="auto"/>
      </w:rPr>
    </w:lvl>
    <w:lvl w:ilvl="2" w:tplc="9D58D39A">
      <w:start w:val="1"/>
      <w:numFmt w:val="bullet"/>
      <w:lvlText w:val="-"/>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A84D1F"/>
    <w:multiLevelType w:val="hybridMultilevel"/>
    <w:tmpl w:val="0F9E7AC6"/>
    <w:lvl w:ilvl="0" w:tplc="04090007">
      <w:start w:val="1"/>
      <w:numFmt w:val="bullet"/>
      <w:lvlText w:val=""/>
      <w:lvlJc w:val="left"/>
      <w:pPr>
        <w:tabs>
          <w:tab w:val="num" w:pos="1287"/>
        </w:tabs>
        <w:ind w:left="1287" w:hanging="360"/>
      </w:pPr>
      <w:rPr>
        <w:rFonts w:ascii="Wingdings" w:hAnsi="Wingdings" w:hint="default"/>
        <w:sz w:val="16"/>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4B16493E"/>
    <w:multiLevelType w:val="hybridMultilevel"/>
    <w:tmpl w:val="19C60A3C"/>
    <w:lvl w:ilvl="0" w:tplc="0409000F">
      <w:start w:val="1"/>
      <w:numFmt w:val="decimal"/>
      <w:lvlText w:val="%1."/>
      <w:lvlJc w:val="left"/>
      <w:pPr>
        <w:tabs>
          <w:tab w:val="num" w:pos="1854"/>
        </w:tabs>
        <w:ind w:left="1854"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6" w15:restartNumberingAfterBreak="0">
    <w:nsid w:val="57D263A6"/>
    <w:multiLevelType w:val="multilevel"/>
    <w:tmpl w:val="57A83736"/>
    <w:lvl w:ilvl="0">
      <w:start w:val="1"/>
      <w:numFmt w:val="bullet"/>
      <w:lvlText w:val=""/>
      <w:lvlJc w:val="left"/>
      <w:pPr>
        <w:tabs>
          <w:tab w:val="num" w:pos="2988"/>
        </w:tabs>
        <w:ind w:left="2988" w:hanging="360"/>
      </w:pPr>
      <w:rPr>
        <w:rFonts w:ascii="Wingdings" w:hAnsi="Wingdings" w:hint="default"/>
        <w:color w:val="auto"/>
      </w:rPr>
    </w:lvl>
    <w:lvl w:ilvl="1">
      <w:start w:val="1"/>
      <w:numFmt w:val="bullet"/>
      <w:lvlText w:val="o"/>
      <w:lvlJc w:val="left"/>
      <w:pPr>
        <w:tabs>
          <w:tab w:val="num" w:pos="3283"/>
        </w:tabs>
        <w:ind w:left="3283" w:hanging="360"/>
      </w:pPr>
      <w:rPr>
        <w:rFonts w:ascii="Courier New" w:hAnsi="Courier New" w:cs="Symbol"/>
      </w:rPr>
    </w:lvl>
    <w:lvl w:ilvl="2">
      <w:start w:val="1"/>
      <w:numFmt w:val="bullet"/>
      <w:lvlText w:val=""/>
      <w:lvlJc w:val="left"/>
      <w:pPr>
        <w:tabs>
          <w:tab w:val="num" w:pos="4003"/>
        </w:tabs>
        <w:ind w:left="4003" w:hanging="360"/>
      </w:pPr>
      <w:rPr>
        <w:rFonts w:ascii="Wingdings" w:hAnsi="Wingdings"/>
      </w:rPr>
    </w:lvl>
    <w:lvl w:ilvl="3">
      <w:start w:val="1"/>
      <w:numFmt w:val="bullet"/>
      <w:lvlText w:val=""/>
      <w:lvlJc w:val="left"/>
      <w:pPr>
        <w:tabs>
          <w:tab w:val="num" w:pos="4723"/>
        </w:tabs>
        <w:ind w:left="4723" w:hanging="360"/>
      </w:pPr>
      <w:rPr>
        <w:rFonts w:ascii="Symbol" w:hAnsi="Symbol"/>
      </w:rPr>
    </w:lvl>
    <w:lvl w:ilvl="4">
      <w:start w:val="1"/>
      <w:numFmt w:val="bullet"/>
      <w:lvlText w:val="o"/>
      <w:lvlJc w:val="left"/>
      <w:pPr>
        <w:tabs>
          <w:tab w:val="num" w:pos="5443"/>
        </w:tabs>
        <w:ind w:left="5443" w:hanging="360"/>
      </w:pPr>
      <w:rPr>
        <w:rFonts w:ascii="Courier New" w:hAnsi="Courier New" w:cs="Symbol"/>
      </w:rPr>
    </w:lvl>
    <w:lvl w:ilvl="5">
      <w:start w:val="1"/>
      <w:numFmt w:val="bullet"/>
      <w:lvlText w:val=""/>
      <w:lvlJc w:val="left"/>
      <w:pPr>
        <w:tabs>
          <w:tab w:val="num" w:pos="6163"/>
        </w:tabs>
        <w:ind w:left="6163" w:hanging="360"/>
      </w:pPr>
      <w:rPr>
        <w:rFonts w:ascii="Wingdings" w:hAnsi="Wingdings"/>
      </w:rPr>
    </w:lvl>
    <w:lvl w:ilvl="6">
      <w:start w:val="1"/>
      <w:numFmt w:val="bullet"/>
      <w:lvlText w:val=""/>
      <w:lvlJc w:val="left"/>
      <w:pPr>
        <w:tabs>
          <w:tab w:val="num" w:pos="6883"/>
        </w:tabs>
        <w:ind w:left="6883" w:hanging="360"/>
      </w:pPr>
      <w:rPr>
        <w:rFonts w:ascii="Symbol" w:hAnsi="Symbol"/>
      </w:rPr>
    </w:lvl>
    <w:lvl w:ilvl="7">
      <w:start w:val="1"/>
      <w:numFmt w:val="bullet"/>
      <w:lvlText w:val="o"/>
      <w:lvlJc w:val="left"/>
      <w:pPr>
        <w:tabs>
          <w:tab w:val="num" w:pos="7603"/>
        </w:tabs>
        <w:ind w:left="7603" w:hanging="360"/>
      </w:pPr>
      <w:rPr>
        <w:rFonts w:ascii="Courier New" w:hAnsi="Courier New" w:cs="Symbol"/>
      </w:rPr>
    </w:lvl>
    <w:lvl w:ilvl="8">
      <w:start w:val="1"/>
      <w:numFmt w:val="bullet"/>
      <w:lvlText w:val=""/>
      <w:lvlJc w:val="left"/>
      <w:pPr>
        <w:tabs>
          <w:tab w:val="num" w:pos="8323"/>
        </w:tabs>
        <w:ind w:left="8323" w:hanging="360"/>
      </w:pPr>
      <w:rPr>
        <w:rFonts w:ascii="Wingdings" w:hAnsi="Wingdings"/>
      </w:rPr>
    </w:lvl>
  </w:abstractNum>
  <w:abstractNum w:abstractNumId="27" w15:restartNumberingAfterBreak="0">
    <w:nsid w:val="59D03AC4"/>
    <w:multiLevelType w:val="multilevel"/>
    <w:tmpl w:val="00000003"/>
    <w:lvl w:ilvl="0">
      <w:start w:val="1"/>
      <w:numFmt w:val="bullet"/>
      <w:lvlText w:val="o"/>
      <w:lvlJc w:val="left"/>
      <w:pPr>
        <w:tabs>
          <w:tab w:val="num" w:pos="2988"/>
        </w:tabs>
        <w:ind w:left="2988" w:hanging="360"/>
      </w:pPr>
      <w:rPr>
        <w:rFonts w:ascii="Courier New" w:hAnsi="Courier New" w:hint="default"/>
      </w:rPr>
    </w:lvl>
    <w:lvl w:ilvl="1">
      <w:start w:val="1"/>
      <w:numFmt w:val="bullet"/>
      <w:lvlText w:val="o"/>
      <w:lvlJc w:val="left"/>
      <w:pPr>
        <w:tabs>
          <w:tab w:val="num" w:pos="3283"/>
        </w:tabs>
        <w:ind w:left="3283" w:hanging="360"/>
      </w:pPr>
      <w:rPr>
        <w:rFonts w:ascii="Courier New" w:hAnsi="Courier New" w:cs="Symbol"/>
      </w:rPr>
    </w:lvl>
    <w:lvl w:ilvl="2">
      <w:start w:val="1"/>
      <w:numFmt w:val="bullet"/>
      <w:lvlText w:val=""/>
      <w:lvlJc w:val="left"/>
      <w:pPr>
        <w:tabs>
          <w:tab w:val="num" w:pos="4003"/>
        </w:tabs>
        <w:ind w:left="4003" w:hanging="360"/>
      </w:pPr>
      <w:rPr>
        <w:rFonts w:ascii="Wingdings" w:hAnsi="Wingdings"/>
      </w:rPr>
    </w:lvl>
    <w:lvl w:ilvl="3">
      <w:start w:val="1"/>
      <w:numFmt w:val="bullet"/>
      <w:lvlText w:val=""/>
      <w:lvlJc w:val="left"/>
      <w:pPr>
        <w:tabs>
          <w:tab w:val="num" w:pos="4723"/>
        </w:tabs>
        <w:ind w:left="4723" w:hanging="360"/>
      </w:pPr>
      <w:rPr>
        <w:rFonts w:ascii="Symbol" w:hAnsi="Symbol"/>
      </w:rPr>
    </w:lvl>
    <w:lvl w:ilvl="4">
      <w:start w:val="1"/>
      <w:numFmt w:val="bullet"/>
      <w:lvlText w:val="o"/>
      <w:lvlJc w:val="left"/>
      <w:pPr>
        <w:tabs>
          <w:tab w:val="num" w:pos="5443"/>
        </w:tabs>
        <w:ind w:left="5443" w:hanging="360"/>
      </w:pPr>
      <w:rPr>
        <w:rFonts w:ascii="Courier New" w:hAnsi="Courier New" w:cs="Symbol"/>
      </w:rPr>
    </w:lvl>
    <w:lvl w:ilvl="5">
      <w:start w:val="1"/>
      <w:numFmt w:val="bullet"/>
      <w:lvlText w:val=""/>
      <w:lvlJc w:val="left"/>
      <w:pPr>
        <w:tabs>
          <w:tab w:val="num" w:pos="6163"/>
        </w:tabs>
        <w:ind w:left="6163" w:hanging="360"/>
      </w:pPr>
      <w:rPr>
        <w:rFonts w:ascii="Wingdings" w:hAnsi="Wingdings"/>
      </w:rPr>
    </w:lvl>
    <w:lvl w:ilvl="6">
      <w:start w:val="1"/>
      <w:numFmt w:val="bullet"/>
      <w:lvlText w:val=""/>
      <w:lvlJc w:val="left"/>
      <w:pPr>
        <w:tabs>
          <w:tab w:val="num" w:pos="6883"/>
        </w:tabs>
        <w:ind w:left="6883" w:hanging="360"/>
      </w:pPr>
      <w:rPr>
        <w:rFonts w:ascii="Symbol" w:hAnsi="Symbol"/>
      </w:rPr>
    </w:lvl>
    <w:lvl w:ilvl="7">
      <w:start w:val="1"/>
      <w:numFmt w:val="bullet"/>
      <w:lvlText w:val="o"/>
      <w:lvlJc w:val="left"/>
      <w:pPr>
        <w:tabs>
          <w:tab w:val="num" w:pos="7603"/>
        </w:tabs>
        <w:ind w:left="7603" w:hanging="360"/>
      </w:pPr>
      <w:rPr>
        <w:rFonts w:ascii="Courier New" w:hAnsi="Courier New" w:cs="Symbol"/>
      </w:rPr>
    </w:lvl>
    <w:lvl w:ilvl="8">
      <w:start w:val="1"/>
      <w:numFmt w:val="bullet"/>
      <w:lvlText w:val=""/>
      <w:lvlJc w:val="left"/>
      <w:pPr>
        <w:tabs>
          <w:tab w:val="num" w:pos="8323"/>
        </w:tabs>
        <w:ind w:left="8323" w:hanging="360"/>
      </w:pPr>
      <w:rPr>
        <w:rFonts w:ascii="Wingdings" w:hAnsi="Wingdings"/>
      </w:rPr>
    </w:lvl>
  </w:abstractNum>
  <w:abstractNum w:abstractNumId="28" w15:restartNumberingAfterBreak="0">
    <w:nsid w:val="5DC34985"/>
    <w:multiLevelType w:val="multilevel"/>
    <w:tmpl w:val="00000003"/>
    <w:lvl w:ilvl="0">
      <w:start w:val="1"/>
      <w:numFmt w:val="bullet"/>
      <w:lvlText w:val="o"/>
      <w:lvlJc w:val="left"/>
      <w:pPr>
        <w:tabs>
          <w:tab w:val="num" w:pos="1854"/>
        </w:tabs>
        <w:ind w:left="1854" w:hanging="360"/>
      </w:pPr>
      <w:rPr>
        <w:rFonts w:ascii="Courier New" w:hAnsi="Courier New" w:hint="default"/>
      </w:rPr>
    </w:lvl>
    <w:lvl w:ilvl="1">
      <w:start w:val="1"/>
      <w:numFmt w:val="bullet"/>
      <w:lvlText w:val="o"/>
      <w:lvlJc w:val="left"/>
      <w:pPr>
        <w:tabs>
          <w:tab w:val="num" w:pos="3283"/>
        </w:tabs>
        <w:ind w:left="3283" w:hanging="360"/>
      </w:pPr>
      <w:rPr>
        <w:rFonts w:ascii="Courier New" w:hAnsi="Courier New" w:cs="Symbol"/>
      </w:rPr>
    </w:lvl>
    <w:lvl w:ilvl="2">
      <w:start w:val="1"/>
      <w:numFmt w:val="bullet"/>
      <w:lvlText w:val=""/>
      <w:lvlJc w:val="left"/>
      <w:pPr>
        <w:tabs>
          <w:tab w:val="num" w:pos="4003"/>
        </w:tabs>
        <w:ind w:left="4003" w:hanging="360"/>
      </w:pPr>
      <w:rPr>
        <w:rFonts w:ascii="Wingdings" w:hAnsi="Wingdings"/>
      </w:rPr>
    </w:lvl>
    <w:lvl w:ilvl="3">
      <w:start w:val="1"/>
      <w:numFmt w:val="bullet"/>
      <w:lvlText w:val=""/>
      <w:lvlJc w:val="left"/>
      <w:pPr>
        <w:tabs>
          <w:tab w:val="num" w:pos="4723"/>
        </w:tabs>
        <w:ind w:left="4723" w:hanging="360"/>
      </w:pPr>
      <w:rPr>
        <w:rFonts w:ascii="Symbol" w:hAnsi="Symbol"/>
      </w:rPr>
    </w:lvl>
    <w:lvl w:ilvl="4">
      <w:start w:val="1"/>
      <w:numFmt w:val="bullet"/>
      <w:lvlText w:val="o"/>
      <w:lvlJc w:val="left"/>
      <w:pPr>
        <w:tabs>
          <w:tab w:val="num" w:pos="5443"/>
        </w:tabs>
        <w:ind w:left="5443" w:hanging="360"/>
      </w:pPr>
      <w:rPr>
        <w:rFonts w:ascii="Courier New" w:hAnsi="Courier New" w:cs="Symbol"/>
      </w:rPr>
    </w:lvl>
    <w:lvl w:ilvl="5">
      <w:start w:val="1"/>
      <w:numFmt w:val="bullet"/>
      <w:lvlText w:val=""/>
      <w:lvlJc w:val="left"/>
      <w:pPr>
        <w:tabs>
          <w:tab w:val="num" w:pos="6163"/>
        </w:tabs>
        <w:ind w:left="6163" w:hanging="360"/>
      </w:pPr>
      <w:rPr>
        <w:rFonts w:ascii="Wingdings" w:hAnsi="Wingdings"/>
      </w:rPr>
    </w:lvl>
    <w:lvl w:ilvl="6">
      <w:start w:val="1"/>
      <w:numFmt w:val="bullet"/>
      <w:lvlText w:val=""/>
      <w:lvlJc w:val="left"/>
      <w:pPr>
        <w:tabs>
          <w:tab w:val="num" w:pos="6883"/>
        </w:tabs>
        <w:ind w:left="6883" w:hanging="360"/>
      </w:pPr>
      <w:rPr>
        <w:rFonts w:ascii="Symbol" w:hAnsi="Symbol"/>
      </w:rPr>
    </w:lvl>
    <w:lvl w:ilvl="7">
      <w:start w:val="1"/>
      <w:numFmt w:val="bullet"/>
      <w:lvlText w:val="o"/>
      <w:lvlJc w:val="left"/>
      <w:pPr>
        <w:tabs>
          <w:tab w:val="num" w:pos="7603"/>
        </w:tabs>
        <w:ind w:left="7603" w:hanging="360"/>
      </w:pPr>
      <w:rPr>
        <w:rFonts w:ascii="Courier New" w:hAnsi="Courier New" w:cs="Symbol"/>
      </w:rPr>
    </w:lvl>
    <w:lvl w:ilvl="8">
      <w:start w:val="1"/>
      <w:numFmt w:val="bullet"/>
      <w:lvlText w:val=""/>
      <w:lvlJc w:val="left"/>
      <w:pPr>
        <w:tabs>
          <w:tab w:val="num" w:pos="8323"/>
        </w:tabs>
        <w:ind w:left="8323" w:hanging="360"/>
      </w:pPr>
      <w:rPr>
        <w:rFonts w:ascii="Wingdings" w:hAnsi="Wingdings"/>
      </w:rPr>
    </w:lvl>
  </w:abstractNum>
  <w:abstractNum w:abstractNumId="29" w15:restartNumberingAfterBreak="0">
    <w:nsid w:val="63E809B9"/>
    <w:multiLevelType w:val="multilevel"/>
    <w:tmpl w:val="4DC29C24"/>
    <w:lvl w:ilvl="0">
      <w:start w:val="1"/>
      <w:numFmt w:val="bullet"/>
      <w:lvlText w:val=""/>
      <w:lvlJc w:val="left"/>
      <w:pPr>
        <w:tabs>
          <w:tab w:val="num" w:pos="1854"/>
        </w:tabs>
        <w:ind w:left="1854" w:hanging="360"/>
      </w:pPr>
      <w:rPr>
        <w:rFonts w:ascii="Wingdings" w:hAnsi="Wingdings" w:hint="default"/>
      </w:rPr>
    </w:lvl>
    <w:lvl w:ilvl="1">
      <w:start w:val="1"/>
      <w:numFmt w:val="bullet"/>
      <w:lvlText w:val="o"/>
      <w:lvlJc w:val="left"/>
      <w:pPr>
        <w:tabs>
          <w:tab w:val="num" w:pos="3283"/>
        </w:tabs>
        <w:ind w:left="3283" w:hanging="360"/>
      </w:pPr>
      <w:rPr>
        <w:rFonts w:ascii="Courier New" w:hAnsi="Courier New" w:cs="Symbol"/>
      </w:rPr>
    </w:lvl>
    <w:lvl w:ilvl="2">
      <w:start w:val="1"/>
      <w:numFmt w:val="bullet"/>
      <w:lvlText w:val=""/>
      <w:lvlJc w:val="left"/>
      <w:pPr>
        <w:tabs>
          <w:tab w:val="num" w:pos="4003"/>
        </w:tabs>
        <w:ind w:left="4003" w:hanging="360"/>
      </w:pPr>
      <w:rPr>
        <w:rFonts w:ascii="Wingdings" w:hAnsi="Wingdings"/>
      </w:rPr>
    </w:lvl>
    <w:lvl w:ilvl="3">
      <w:start w:val="1"/>
      <w:numFmt w:val="bullet"/>
      <w:lvlText w:val=""/>
      <w:lvlJc w:val="left"/>
      <w:pPr>
        <w:tabs>
          <w:tab w:val="num" w:pos="4723"/>
        </w:tabs>
        <w:ind w:left="4723" w:hanging="360"/>
      </w:pPr>
      <w:rPr>
        <w:rFonts w:ascii="Symbol" w:hAnsi="Symbol"/>
      </w:rPr>
    </w:lvl>
    <w:lvl w:ilvl="4">
      <w:start w:val="1"/>
      <w:numFmt w:val="bullet"/>
      <w:lvlText w:val="o"/>
      <w:lvlJc w:val="left"/>
      <w:pPr>
        <w:tabs>
          <w:tab w:val="num" w:pos="5443"/>
        </w:tabs>
        <w:ind w:left="5443" w:hanging="360"/>
      </w:pPr>
      <w:rPr>
        <w:rFonts w:ascii="Courier New" w:hAnsi="Courier New" w:cs="Symbol"/>
      </w:rPr>
    </w:lvl>
    <w:lvl w:ilvl="5">
      <w:start w:val="1"/>
      <w:numFmt w:val="bullet"/>
      <w:lvlText w:val=""/>
      <w:lvlJc w:val="left"/>
      <w:pPr>
        <w:tabs>
          <w:tab w:val="num" w:pos="6163"/>
        </w:tabs>
        <w:ind w:left="6163" w:hanging="360"/>
      </w:pPr>
      <w:rPr>
        <w:rFonts w:ascii="Wingdings" w:hAnsi="Wingdings"/>
      </w:rPr>
    </w:lvl>
    <w:lvl w:ilvl="6">
      <w:start w:val="1"/>
      <w:numFmt w:val="bullet"/>
      <w:lvlText w:val=""/>
      <w:lvlJc w:val="left"/>
      <w:pPr>
        <w:tabs>
          <w:tab w:val="num" w:pos="6883"/>
        </w:tabs>
        <w:ind w:left="6883" w:hanging="360"/>
      </w:pPr>
      <w:rPr>
        <w:rFonts w:ascii="Symbol" w:hAnsi="Symbol"/>
      </w:rPr>
    </w:lvl>
    <w:lvl w:ilvl="7">
      <w:start w:val="1"/>
      <w:numFmt w:val="bullet"/>
      <w:lvlText w:val="o"/>
      <w:lvlJc w:val="left"/>
      <w:pPr>
        <w:tabs>
          <w:tab w:val="num" w:pos="7603"/>
        </w:tabs>
        <w:ind w:left="7603" w:hanging="360"/>
      </w:pPr>
      <w:rPr>
        <w:rFonts w:ascii="Courier New" w:hAnsi="Courier New" w:cs="Symbol"/>
      </w:rPr>
    </w:lvl>
    <w:lvl w:ilvl="8">
      <w:start w:val="1"/>
      <w:numFmt w:val="bullet"/>
      <w:lvlText w:val=""/>
      <w:lvlJc w:val="left"/>
      <w:pPr>
        <w:tabs>
          <w:tab w:val="num" w:pos="8323"/>
        </w:tabs>
        <w:ind w:left="8323" w:hanging="360"/>
      </w:pPr>
      <w:rPr>
        <w:rFonts w:ascii="Wingdings" w:hAnsi="Wingdings"/>
      </w:rPr>
    </w:lvl>
  </w:abstractNum>
  <w:abstractNum w:abstractNumId="30" w15:restartNumberingAfterBreak="0">
    <w:nsid w:val="6900650C"/>
    <w:multiLevelType w:val="hybridMultilevel"/>
    <w:tmpl w:val="B672D926"/>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1" w15:restartNumberingAfterBreak="0">
    <w:nsid w:val="75FE65A5"/>
    <w:multiLevelType w:val="hybridMultilevel"/>
    <w:tmpl w:val="19C60A3C"/>
    <w:lvl w:ilvl="0" w:tplc="04090003">
      <w:start w:val="1"/>
      <w:numFmt w:val="bullet"/>
      <w:lvlText w:val="o"/>
      <w:lvlJc w:val="left"/>
      <w:pPr>
        <w:tabs>
          <w:tab w:val="num" w:pos="1854"/>
        </w:tabs>
        <w:ind w:left="1854" w:hanging="360"/>
      </w:pPr>
      <w:rPr>
        <w:rFonts w:ascii="Courier New" w:hAnsi="Courier New"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2" w15:restartNumberingAfterBreak="0">
    <w:nsid w:val="7BDB4289"/>
    <w:multiLevelType w:val="hybridMultilevel"/>
    <w:tmpl w:val="ACE2018A"/>
    <w:lvl w:ilvl="0" w:tplc="04090003">
      <w:start w:val="1"/>
      <w:numFmt w:val="bullet"/>
      <w:lvlText w:val="o"/>
      <w:lvlJc w:val="left"/>
      <w:pPr>
        <w:tabs>
          <w:tab w:val="num" w:pos="1287"/>
        </w:tabs>
        <w:ind w:left="1287" w:hanging="360"/>
      </w:pPr>
      <w:rPr>
        <w:rFonts w:ascii="Courier New" w:hAnsi="Courier New"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5"/>
  </w:num>
  <w:num w:numId="7">
    <w:abstractNumId w:val="31"/>
  </w:num>
  <w:num w:numId="8">
    <w:abstractNumId w:val="22"/>
  </w:num>
  <w:num w:numId="9">
    <w:abstractNumId w:val="24"/>
  </w:num>
  <w:num w:numId="10">
    <w:abstractNumId w:val="27"/>
  </w:num>
  <w:num w:numId="11">
    <w:abstractNumId w:val="18"/>
  </w:num>
  <w:num w:numId="12">
    <w:abstractNumId w:val="7"/>
  </w:num>
  <w:num w:numId="13">
    <w:abstractNumId w:val="32"/>
  </w:num>
  <w:num w:numId="14">
    <w:abstractNumId w:val="17"/>
  </w:num>
  <w:num w:numId="15">
    <w:abstractNumId w:val="28"/>
  </w:num>
  <w:num w:numId="16">
    <w:abstractNumId w:val="16"/>
  </w:num>
  <w:num w:numId="17">
    <w:abstractNumId w:val="19"/>
  </w:num>
  <w:num w:numId="18">
    <w:abstractNumId w:val="1"/>
  </w:num>
  <w:num w:numId="19">
    <w:abstractNumId w:val="3"/>
  </w:num>
  <w:num w:numId="20">
    <w:abstractNumId w:val="3"/>
  </w:num>
  <w:num w:numId="21">
    <w:abstractNumId w:val="3"/>
  </w:num>
  <w:num w:numId="22">
    <w:abstractNumId w:val="3"/>
  </w:num>
  <w:num w:numId="23">
    <w:abstractNumId w:val="3"/>
  </w:num>
  <w:num w:numId="24">
    <w:abstractNumId w:val="3"/>
  </w:num>
  <w:num w:numId="25">
    <w:abstractNumId w:val="1"/>
  </w:num>
  <w:num w:numId="26">
    <w:abstractNumId w:val="1"/>
  </w:num>
  <w:num w:numId="27">
    <w:abstractNumId w:val="5"/>
  </w:num>
  <w:num w:numId="28">
    <w:abstractNumId w:val="29"/>
  </w:num>
  <w:num w:numId="29">
    <w:abstractNumId w:val="26"/>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11"/>
  </w:num>
  <w:num w:numId="42">
    <w:abstractNumId w:val="23"/>
  </w:num>
  <w:num w:numId="43">
    <w:abstractNumId w:val="30"/>
  </w:num>
  <w:num w:numId="44">
    <w:abstractNumId w:val="8"/>
  </w:num>
  <w:num w:numId="45">
    <w:abstractNumId w:val="6"/>
  </w:num>
  <w:num w:numId="46">
    <w:abstractNumId w:val="14"/>
  </w:num>
  <w:num w:numId="47">
    <w:abstractNumId w:val="13"/>
  </w:num>
  <w:num w:numId="48">
    <w:abstractNumId w:val="2"/>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20"/>
  </w:num>
  <w:num w:numId="53">
    <w:abstractNumId w:val="21"/>
  </w:num>
  <w:num w:numId="54">
    <w:abstractNumId w:val="15"/>
  </w:num>
  <w:num w:numId="55">
    <w:abstractNumId w:val="2"/>
  </w:num>
  <w:num w:numId="56">
    <w:abstractNumId w:val="12"/>
  </w:num>
  <w:num w:numId="57">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8D"/>
    <w:rsid w:val="00004AA4"/>
    <w:rsid w:val="00006EF7"/>
    <w:rsid w:val="0000717B"/>
    <w:rsid w:val="00007256"/>
    <w:rsid w:val="000079BE"/>
    <w:rsid w:val="00014035"/>
    <w:rsid w:val="0001469D"/>
    <w:rsid w:val="000149A9"/>
    <w:rsid w:val="00014BE6"/>
    <w:rsid w:val="00017F71"/>
    <w:rsid w:val="000268AB"/>
    <w:rsid w:val="00032A33"/>
    <w:rsid w:val="00034010"/>
    <w:rsid w:val="00035997"/>
    <w:rsid w:val="00037972"/>
    <w:rsid w:val="0005080D"/>
    <w:rsid w:val="00051A49"/>
    <w:rsid w:val="0005771F"/>
    <w:rsid w:val="00060A5F"/>
    <w:rsid w:val="00062C95"/>
    <w:rsid w:val="00063F58"/>
    <w:rsid w:val="00064969"/>
    <w:rsid w:val="00067285"/>
    <w:rsid w:val="00070A95"/>
    <w:rsid w:val="00070B07"/>
    <w:rsid w:val="000764F1"/>
    <w:rsid w:val="000769E8"/>
    <w:rsid w:val="000838F7"/>
    <w:rsid w:val="0009620B"/>
    <w:rsid w:val="000966FA"/>
    <w:rsid w:val="000A3FCE"/>
    <w:rsid w:val="000B00A4"/>
    <w:rsid w:val="000B4A4C"/>
    <w:rsid w:val="000B6B92"/>
    <w:rsid w:val="000B6BCD"/>
    <w:rsid w:val="000B7561"/>
    <w:rsid w:val="000D01AA"/>
    <w:rsid w:val="000D1299"/>
    <w:rsid w:val="000D236B"/>
    <w:rsid w:val="000D6D1C"/>
    <w:rsid w:val="000E2C6D"/>
    <w:rsid w:val="000E7DD0"/>
    <w:rsid w:val="000F0C02"/>
    <w:rsid w:val="000F66AF"/>
    <w:rsid w:val="00101023"/>
    <w:rsid w:val="00102FCD"/>
    <w:rsid w:val="00104BE4"/>
    <w:rsid w:val="00110392"/>
    <w:rsid w:val="001103BD"/>
    <w:rsid w:val="00117A33"/>
    <w:rsid w:val="00117C37"/>
    <w:rsid w:val="00120342"/>
    <w:rsid w:val="00120D96"/>
    <w:rsid w:val="00123022"/>
    <w:rsid w:val="001254EB"/>
    <w:rsid w:val="00125E6C"/>
    <w:rsid w:val="00126D4E"/>
    <w:rsid w:val="00131284"/>
    <w:rsid w:val="0013216D"/>
    <w:rsid w:val="00137205"/>
    <w:rsid w:val="001418F5"/>
    <w:rsid w:val="00142A84"/>
    <w:rsid w:val="00147AC7"/>
    <w:rsid w:val="0015128A"/>
    <w:rsid w:val="0015250A"/>
    <w:rsid w:val="00153CAC"/>
    <w:rsid w:val="00153F9D"/>
    <w:rsid w:val="00155006"/>
    <w:rsid w:val="00164BBF"/>
    <w:rsid w:val="00167AD0"/>
    <w:rsid w:val="00167E13"/>
    <w:rsid w:val="00170A46"/>
    <w:rsid w:val="00170B00"/>
    <w:rsid w:val="00182760"/>
    <w:rsid w:val="00184E33"/>
    <w:rsid w:val="00187646"/>
    <w:rsid w:val="001A063D"/>
    <w:rsid w:val="001A2D67"/>
    <w:rsid w:val="001A693D"/>
    <w:rsid w:val="001B1BEE"/>
    <w:rsid w:val="001C1D3A"/>
    <w:rsid w:val="001C58B2"/>
    <w:rsid w:val="001C69AA"/>
    <w:rsid w:val="001D10CB"/>
    <w:rsid w:val="001D1C94"/>
    <w:rsid w:val="001D497B"/>
    <w:rsid w:val="001D64AA"/>
    <w:rsid w:val="001D6553"/>
    <w:rsid w:val="001E0DDC"/>
    <w:rsid w:val="001E24F1"/>
    <w:rsid w:val="001F04EF"/>
    <w:rsid w:val="001F0CEB"/>
    <w:rsid w:val="001F30C0"/>
    <w:rsid w:val="0020031B"/>
    <w:rsid w:val="00213C31"/>
    <w:rsid w:val="0021734F"/>
    <w:rsid w:val="002223AD"/>
    <w:rsid w:val="00223E88"/>
    <w:rsid w:val="00225A55"/>
    <w:rsid w:val="002274E2"/>
    <w:rsid w:val="00235EA8"/>
    <w:rsid w:val="00237487"/>
    <w:rsid w:val="002452E5"/>
    <w:rsid w:val="00253B0F"/>
    <w:rsid w:val="00254E8B"/>
    <w:rsid w:val="00256CDA"/>
    <w:rsid w:val="00257DCC"/>
    <w:rsid w:val="00266104"/>
    <w:rsid w:val="00266C31"/>
    <w:rsid w:val="002678FB"/>
    <w:rsid w:val="0027156A"/>
    <w:rsid w:val="0027326D"/>
    <w:rsid w:val="002733A6"/>
    <w:rsid w:val="002773C2"/>
    <w:rsid w:val="002803E7"/>
    <w:rsid w:val="00281420"/>
    <w:rsid w:val="002816DF"/>
    <w:rsid w:val="00281A9B"/>
    <w:rsid w:val="0028257F"/>
    <w:rsid w:val="00282DDB"/>
    <w:rsid w:val="002871AF"/>
    <w:rsid w:val="00287C51"/>
    <w:rsid w:val="002903EE"/>
    <w:rsid w:val="002964E7"/>
    <w:rsid w:val="00296D95"/>
    <w:rsid w:val="002B15E0"/>
    <w:rsid w:val="002B20A9"/>
    <w:rsid w:val="002B2DE1"/>
    <w:rsid w:val="002B5680"/>
    <w:rsid w:val="002C3F57"/>
    <w:rsid w:val="002D3839"/>
    <w:rsid w:val="002D6B29"/>
    <w:rsid w:val="002D6EDF"/>
    <w:rsid w:val="002E1B6E"/>
    <w:rsid w:val="002E24C6"/>
    <w:rsid w:val="002E5280"/>
    <w:rsid w:val="002E6168"/>
    <w:rsid w:val="002E68F4"/>
    <w:rsid w:val="002E6AF8"/>
    <w:rsid w:val="002E6FD8"/>
    <w:rsid w:val="002F0AE8"/>
    <w:rsid w:val="002F15A8"/>
    <w:rsid w:val="002F3007"/>
    <w:rsid w:val="002F46EF"/>
    <w:rsid w:val="003032B5"/>
    <w:rsid w:val="00304A39"/>
    <w:rsid w:val="00305108"/>
    <w:rsid w:val="003067AF"/>
    <w:rsid w:val="003130E5"/>
    <w:rsid w:val="0031646F"/>
    <w:rsid w:val="0032102D"/>
    <w:rsid w:val="00323095"/>
    <w:rsid w:val="0033315A"/>
    <w:rsid w:val="00340BCB"/>
    <w:rsid w:val="00341F7E"/>
    <w:rsid w:val="003427D9"/>
    <w:rsid w:val="003445CC"/>
    <w:rsid w:val="00346F6C"/>
    <w:rsid w:val="0035131B"/>
    <w:rsid w:val="00351517"/>
    <w:rsid w:val="003544BA"/>
    <w:rsid w:val="00360F5E"/>
    <w:rsid w:val="003650A5"/>
    <w:rsid w:val="00365C69"/>
    <w:rsid w:val="00366C85"/>
    <w:rsid w:val="0037172B"/>
    <w:rsid w:val="003726AF"/>
    <w:rsid w:val="00374728"/>
    <w:rsid w:val="00374972"/>
    <w:rsid w:val="0037633A"/>
    <w:rsid w:val="003809E6"/>
    <w:rsid w:val="00381131"/>
    <w:rsid w:val="00382925"/>
    <w:rsid w:val="00383036"/>
    <w:rsid w:val="0038716C"/>
    <w:rsid w:val="00390129"/>
    <w:rsid w:val="0039188A"/>
    <w:rsid w:val="00392981"/>
    <w:rsid w:val="00394C05"/>
    <w:rsid w:val="00395654"/>
    <w:rsid w:val="003A10B9"/>
    <w:rsid w:val="003A209D"/>
    <w:rsid w:val="003A432B"/>
    <w:rsid w:val="003A7E3D"/>
    <w:rsid w:val="003B0873"/>
    <w:rsid w:val="003B24F1"/>
    <w:rsid w:val="003B6524"/>
    <w:rsid w:val="003B6AC6"/>
    <w:rsid w:val="003B72EF"/>
    <w:rsid w:val="003B75CF"/>
    <w:rsid w:val="003D1371"/>
    <w:rsid w:val="003D6E62"/>
    <w:rsid w:val="003E0F30"/>
    <w:rsid w:val="003E1C62"/>
    <w:rsid w:val="003E2896"/>
    <w:rsid w:val="003E308E"/>
    <w:rsid w:val="003F33DC"/>
    <w:rsid w:val="0040347F"/>
    <w:rsid w:val="00406E99"/>
    <w:rsid w:val="004079D9"/>
    <w:rsid w:val="004108AC"/>
    <w:rsid w:val="00416F5D"/>
    <w:rsid w:val="004212B9"/>
    <w:rsid w:val="00427D25"/>
    <w:rsid w:val="004309CC"/>
    <w:rsid w:val="00437F3F"/>
    <w:rsid w:val="00441A8A"/>
    <w:rsid w:val="00441B2C"/>
    <w:rsid w:val="00441FE5"/>
    <w:rsid w:val="004500CB"/>
    <w:rsid w:val="00452113"/>
    <w:rsid w:val="00460969"/>
    <w:rsid w:val="004639EC"/>
    <w:rsid w:val="004640D9"/>
    <w:rsid w:val="00466473"/>
    <w:rsid w:val="00471916"/>
    <w:rsid w:val="00473452"/>
    <w:rsid w:val="00473A07"/>
    <w:rsid w:val="0047575C"/>
    <w:rsid w:val="004768A0"/>
    <w:rsid w:val="00477D66"/>
    <w:rsid w:val="004820C5"/>
    <w:rsid w:val="004855AD"/>
    <w:rsid w:val="00490894"/>
    <w:rsid w:val="00494087"/>
    <w:rsid w:val="004947EA"/>
    <w:rsid w:val="00495771"/>
    <w:rsid w:val="004A0A33"/>
    <w:rsid w:val="004A53BD"/>
    <w:rsid w:val="004A63FE"/>
    <w:rsid w:val="004A7143"/>
    <w:rsid w:val="004A7985"/>
    <w:rsid w:val="004B003E"/>
    <w:rsid w:val="004B210C"/>
    <w:rsid w:val="004B25E9"/>
    <w:rsid w:val="004B3D1E"/>
    <w:rsid w:val="004B3EA5"/>
    <w:rsid w:val="004B4F59"/>
    <w:rsid w:val="004C2FC7"/>
    <w:rsid w:val="004C61D5"/>
    <w:rsid w:val="004C6556"/>
    <w:rsid w:val="004D10C2"/>
    <w:rsid w:val="004D121D"/>
    <w:rsid w:val="004D3B35"/>
    <w:rsid w:val="004D4AB8"/>
    <w:rsid w:val="004D6E54"/>
    <w:rsid w:val="004E4713"/>
    <w:rsid w:val="004E6F62"/>
    <w:rsid w:val="004F2C3B"/>
    <w:rsid w:val="004F31EB"/>
    <w:rsid w:val="004F7D89"/>
    <w:rsid w:val="004F7E7B"/>
    <w:rsid w:val="0050004A"/>
    <w:rsid w:val="005034CB"/>
    <w:rsid w:val="00506AEC"/>
    <w:rsid w:val="0051046E"/>
    <w:rsid w:val="0051231A"/>
    <w:rsid w:val="00516AAE"/>
    <w:rsid w:val="00520D09"/>
    <w:rsid w:val="0052163D"/>
    <w:rsid w:val="00531057"/>
    <w:rsid w:val="00531201"/>
    <w:rsid w:val="0053193C"/>
    <w:rsid w:val="00532748"/>
    <w:rsid w:val="005350B9"/>
    <w:rsid w:val="0053598A"/>
    <w:rsid w:val="00535AD1"/>
    <w:rsid w:val="0053605E"/>
    <w:rsid w:val="00543417"/>
    <w:rsid w:val="00544189"/>
    <w:rsid w:val="0054533C"/>
    <w:rsid w:val="00545832"/>
    <w:rsid w:val="00551411"/>
    <w:rsid w:val="005575BE"/>
    <w:rsid w:val="0056123E"/>
    <w:rsid w:val="00562705"/>
    <w:rsid w:val="00565826"/>
    <w:rsid w:val="005730A7"/>
    <w:rsid w:val="0057580E"/>
    <w:rsid w:val="00575905"/>
    <w:rsid w:val="00585B7B"/>
    <w:rsid w:val="00587CC2"/>
    <w:rsid w:val="00592A9C"/>
    <w:rsid w:val="0059500C"/>
    <w:rsid w:val="005959CD"/>
    <w:rsid w:val="00596667"/>
    <w:rsid w:val="005A0468"/>
    <w:rsid w:val="005A4240"/>
    <w:rsid w:val="005A4FD1"/>
    <w:rsid w:val="005A4FEB"/>
    <w:rsid w:val="005A521E"/>
    <w:rsid w:val="005A6C12"/>
    <w:rsid w:val="005B0E74"/>
    <w:rsid w:val="005B1A4E"/>
    <w:rsid w:val="005B2CB3"/>
    <w:rsid w:val="005B4C36"/>
    <w:rsid w:val="005B4F8F"/>
    <w:rsid w:val="005B78E0"/>
    <w:rsid w:val="005B7ADA"/>
    <w:rsid w:val="005C35A9"/>
    <w:rsid w:val="005C49FA"/>
    <w:rsid w:val="005C62FF"/>
    <w:rsid w:val="005C68CB"/>
    <w:rsid w:val="005D01C1"/>
    <w:rsid w:val="005D1F7E"/>
    <w:rsid w:val="005E10A3"/>
    <w:rsid w:val="005E2006"/>
    <w:rsid w:val="005E532F"/>
    <w:rsid w:val="005E5DE9"/>
    <w:rsid w:val="005F1523"/>
    <w:rsid w:val="00603267"/>
    <w:rsid w:val="006051B4"/>
    <w:rsid w:val="00611EA1"/>
    <w:rsid w:val="0061462B"/>
    <w:rsid w:val="00617280"/>
    <w:rsid w:val="00620648"/>
    <w:rsid w:val="006209B3"/>
    <w:rsid w:val="00620D28"/>
    <w:rsid w:val="00622508"/>
    <w:rsid w:val="0062669F"/>
    <w:rsid w:val="00627699"/>
    <w:rsid w:val="00631060"/>
    <w:rsid w:val="0063762A"/>
    <w:rsid w:val="00641D95"/>
    <w:rsid w:val="006444DB"/>
    <w:rsid w:val="00646614"/>
    <w:rsid w:val="0065015B"/>
    <w:rsid w:val="00650B46"/>
    <w:rsid w:val="00653276"/>
    <w:rsid w:val="006565CC"/>
    <w:rsid w:val="006568F5"/>
    <w:rsid w:val="00660669"/>
    <w:rsid w:val="00663961"/>
    <w:rsid w:val="00666580"/>
    <w:rsid w:val="00670CC7"/>
    <w:rsid w:val="006758B3"/>
    <w:rsid w:val="00677EFF"/>
    <w:rsid w:val="00685308"/>
    <w:rsid w:val="00687DAB"/>
    <w:rsid w:val="00690E71"/>
    <w:rsid w:val="00691F3C"/>
    <w:rsid w:val="00696F4F"/>
    <w:rsid w:val="006A22DF"/>
    <w:rsid w:val="006A536D"/>
    <w:rsid w:val="006A61F0"/>
    <w:rsid w:val="006B0F26"/>
    <w:rsid w:val="006B28D4"/>
    <w:rsid w:val="006B53D1"/>
    <w:rsid w:val="006B7AD6"/>
    <w:rsid w:val="006C1566"/>
    <w:rsid w:val="006C164A"/>
    <w:rsid w:val="006C4186"/>
    <w:rsid w:val="006C5D81"/>
    <w:rsid w:val="006D10D6"/>
    <w:rsid w:val="006D1F2C"/>
    <w:rsid w:val="006D5595"/>
    <w:rsid w:val="006D7250"/>
    <w:rsid w:val="006E1D71"/>
    <w:rsid w:val="006E42CF"/>
    <w:rsid w:val="00700839"/>
    <w:rsid w:val="0070452A"/>
    <w:rsid w:val="0070491E"/>
    <w:rsid w:val="007058B6"/>
    <w:rsid w:val="0070617A"/>
    <w:rsid w:val="0070690B"/>
    <w:rsid w:val="00711EAC"/>
    <w:rsid w:val="00717E60"/>
    <w:rsid w:val="00720320"/>
    <w:rsid w:val="00720AFC"/>
    <w:rsid w:val="00721EFA"/>
    <w:rsid w:val="007235D6"/>
    <w:rsid w:val="007239EB"/>
    <w:rsid w:val="00724BB6"/>
    <w:rsid w:val="00730DE6"/>
    <w:rsid w:val="00734D35"/>
    <w:rsid w:val="0074198F"/>
    <w:rsid w:val="007467D0"/>
    <w:rsid w:val="00751CD8"/>
    <w:rsid w:val="00756F07"/>
    <w:rsid w:val="007605ED"/>
    <w:rsid w:val="00761674"/>
    <w:rsid w:val="00762E08"/>
    <w:rsid w:val="00763C1B"/>
    <w:rsid w:val="00763F65"/>
    <w:rsid w:val="00765035"/>
    <w:rsid w:val="0076546D"/>
    <w:rsid w:val="00765937"/>
    <w:rsid w:val="00766785"/>
    <w:rsid w:val="007714A1"/>
    <w:rsid w:val="00781540"/>
    <w:rsid w:val="00781B0A"/>
    <w:rsid w:val="007832F0"/>
    <w:rsid w:val="00785DC2"/>
    <w:rsid w:val="0079030C"/>
    <w:rsid w:val="00790B98"/>
    <w:rsid w:val="007A100E"/>
    <w:rsid w:val="007B2AD8"/>
    <w:rsid w:val="007B2B4B"/>
    <w:rsid w:val="007B2BDA"/>
    <w:rsid w:val="007B52F8"/>
    <w:rsid w:val="007C2454"/>
    <w:rsid w:val="007C263D"/>
    <w:rsid w:val="007C3D3E"/>
    <w:rsid w:val="007C78F9"/>
    <w:rsid w:val="007D2ECB"/>
    <w:rsid w:val="007D3CD1"/>
    <w:rsid w:val="007D7E91"/>
    <w:rsid w:val="007E161A"/>
    <w:rsid w:val="007E640B"/>
    <w:rsid w:val="007E6978"/>
    <w:rsid w:val="007F06D5"/>
    <w:rsid w:val="007F16FF"/>
    <w:rsid w:val="007F1AFC"/>
    <w:rsid w:val="007F2063"/>
    <w:rsid w:val="007F2D08"/>
    <w:rsid w:val="007F3CD8"/>
    <w:rsid w:val="007F685C"/>
    <w:rsid w:val="00802262"/>
    <w:rsid w:val="008046C1"/>
    <w:rsid w:val="00816086"/>
    <w:rsid w:val="0082173C"/>
    <w:rsid w:val="00822736"/>
    <w:rsid w:val="00823440"/>
    <w:rsid w:val="0082383A"/>
    <w:rsid w:val="008258A4"/>
    <w:rsid w:val="008314A8"/>
    <w:rsid w:val="00831FF2"/>
    <w:rsid w:val="008326CB"/>
    <w:rsid w:val="00832951"/>
    <w:rsid w:val="0083309E"/>
    <w:rsid w:val="008351A5"/>
    <w:rsid w:val="00840505"/>
    <w:rsid w:val="008405ED"/>
    <w:rsid w:val="008406AB"/>
    <w:rsid w:val="008413CA"/>
    <w:rsid w:val="0086167B"/>
    <w:rsid w:val="00870770"/>
    <w:rsid w:val="008715EC"/>
    <w:rsid w:val="008728FE"/>
    <w:rsid w:val="00873FB8"/>
    <w:rsid w:val="0087597C"/>
    <w:rsid w:val="00875F63"/>
    <w:rsid w:val="00876684"/>
    <w:rsid w:val="00877BCA"/>
    <w:rsid w:val="00880615"/>
    <w:rsid w:val="00883814"/>
    <w:rsid w:val="00884D68"/>
    <w:rsid w:val="00884F67"/>
    <w:rsid w:val="00885C4F"/>
    <w:rsid w:val="008A1FD6"/>
    <w:rsid w:val="008A7339"/>
    <w:rsid w:val="008A76FE"/>
    <w:rsid w:val="008B00FA"/>
    <w:rsid w:val="008C15B7"/>
    <w:rsid w:val="008D03F5"/>
    <w:rsid w:val="008D13DC"/>
    <w:rsid w:val="008D3CBC"/>
    <w:rsid w:val="008D4118"/>
    <w:rsid w:val="008D47FB"/>
    <w:rsid w:val="008D76A5"/>
    <w:rsid w:val="008E0CF8"/>
    <w:rsid w:val="008E17C3"/>
    <w:rsid w:val="008E7007"/>
    <w:rsid w:val="008F1FC7"/>
    <w:rsid w:val="008F35EC"/>
    <w:rsid w:val="008F5FF1"/>
    <w:rsid w:val="008F7B0A"/>
    <w:rsid w:val="0091228D"/>
    <w:rsid w:val="009158BC"/>
    <w:rsid w:val="00916D56"/>
    <w:rsid w:val="00920564"/>
    <w:rsid w:val="00920DDB"/>
    <w:rsid w:val="009262FC"/>
    <w:rsid w:val="0092773C"/>
    <w:rsid w:val="00930A92"/>
    <w:rsid w:val="00937D20"/>
    <w:rsid w:val="00940087"/>
    <w:rsid w:val="00941B82"/>
    <w:rsid w:val="00944DE4"/>
    <w:rsid w:val="0094787E"/>
    <w:rsid w:val="00950E20"/>
    <w:rsid w:val="0095202B"/>
    <w:rsid w:val="00952088"/>
    <w:rsid w:val="0095270E"/>
    <w:rsid w:val="0095377C"/>
    <w:rsid w:val="00954183"/>
    <w:rsid w:val="00955963"/>
    <w:rsid w:val="00960304"/>
    <w:rsid w:val="00966316"/>
    <w:rsid w:val="009666DB"/>
    <w:rsid w:val="0097103F"/>
    <w:rsid w:val="00971C6B"/>
    <w:rsid w:val="00971D55"/>
    <w:rsid w:val="00973CCE"/>
    <w:rsid w:val="009764AB"/>
    <w:rsid w:val="00976834"/>
    <w:rsid w:val="009776EF"/>
    <w:rsid w:val="00991375"/>
    <w:rsid w:val="0099647A"/>
    <w:rsid w:val="009A097D"/>
    <w:rsid w:val="009A4BA4"/>
    <w:rsid w:val="009A64A9"/>
    <w:rsid w:val="009B2769"/>
    <w:rsid w:val="009B3EF7"/>
    <w:rsid w:val="009C77A9"/>
    <w:rsid w:val="009C7ECE"/>
    <w:rsid w:val="009D0F7A"/>
    <w:rsid w:val="009E0236"/>
    <w:rsid w:val="009E0F74"/>
    <w:rsid w:val="009E2497"/>
    <w:rsid w:val="009E541A"/>
    <w:rsid w:val="009E6CA7"/>
    <w:rsid w:val="009F4EE7"/>
    <w:rsid w:val="00A00A84"/>
    <w:rsid w:val="00A00D95"/>
    <w:rsid w:val="00A00E48"/>
    <w:rsid w:val="00A01D0A"/>
    <w:rsid w:val="00A0447F"/>
    <w:rsid w:val="00A15181"/>
    <w:rsid w:val="00A16560"/>
    <w:rsid w:val="00A1695E"/>
    <w:rsid w:val="00A245B4"/>
    <w:rsid w:val="00A24D49"/>
    <w:rsid w:val="00A322C6"/>
    <w:rsid w:val="00A33B8B"/>
    <w:rsid w:val="00A42F2E"/>
    <w:rsid w:val="00A45F05"/>
    <w:rsid w:val="00A53680"/>
    <w:rsid w:val="00A567EC"/>
    <w:rsid w:val="00A637D1"/>
    <w:rsid w:val="00A652A2"/>
    <w:rsid w:val="00A7513F"/>
    <w:rsid w:val="00A813F1"/>
    <w:rsid w:val="00A83D46"/>
    <w:rsid w:val="00A96D7B"/>
    <w:rsid w:val="00AA0EBF"/>
    <w:rsid w:val="00AA2BD7"/>
    <w:rsid w:val="00AA2EC4"/>
    <w:rsid w:val="00AA3128"/>
    <w:rsid w:val="00AA3C78"/>
    <w:rsid w:val="00AB1DCF"/>
    <w:rsid w:val="00AB6E21"/>
    <w:rsid w:val="00AC059D"/>
    <w:rsid w:val="00AD09C9"/>
    <w:rsid w:val="00AE033E"/>
    <w:rsid w:val="00AE3601"/>
    <w:rsid w:val="00AE5BFD"/>
    <w:rsid w:val="00AF0761"/>
    <w:rsid w:val="00AF109E"/>
    <w:rsid w:val="00AF20FF"/>
    <w:rsid w:val="00AF2864"/>
    <w:rsid w:val="00AF6610"/>
    <w:rsid w:val="00AF698E"/>
    <w:rsid w:val="00B1083E"/>
    <w:rsid w:val="00B10CAD"/>
    <w:rsid w:val="00B200E0"/>
    <w:rsid w:val="00B24247"/>
    <w:rsid w:val="00B25778"/>
    <w:rsid w:val="00B274AD"/>
    <w:rsid w:val="00B30765"/>
    <w:rsid w:val="00B30972"/>
    <w:rsid w:val="00B311C6"/>
    <w:rsid w:val="00B321A5"/>
    <w:rsid w:val="00B33058"/>
    <w:rsid w:val="00B340AB"/>
    <w:rsid w:val="00B34A24"/>
    <w:rsid w:val="00B34C6F"/>
    <w:rsid w:val="00B34DB5"/>
    <w:rsid w:val="00B43C59"/>
    <w:rsid w:val="00B51D16"/>
    <w:rsid w:val="00B51E5C"/>
    <w:rsid w:val="00B54C46"/>
    <w:rsid w:val="00B66DBB"/>
    <w:rsid w:val="00B72129"/>
    <w:rsid w:val="00B74111"/>
    <w:rsid w:val="00B746BB"/>
    <w:rsid w:val="00B755DC"/>
    <w:rsid w:val="00B84305"/>
    <w:rsid w:val="00B844B1"/>
    <w:rsid w:val="00B85006"/>
    <w:rsid w:val="00B8763B"/>
    <w:rsid w:val="00B9273D"/>
    <w:rsid w:val="00B92898"/>
    <w:rsid w:val="00B9640B"/>
    <w:rsid w:val="00B96B23"/>
    <w:rsid w:val="00B96C61"/>
    <w:rsid w:val="00B96C86"/>
    <w:rsid w:val="00BA4207"/>
    <w:rsid w:val="00BA545F"/>
    <w:rsid w:val="00BA5DB6"/>
    <w:rsid w:val="00BA6F85"/>
    <w:rsid w:val="00BA741C"/>
    <w:rsid w:val="00BB347B"/>
    <w:rsid w:val="00BB3BD6"/>
    <w:rsid w:val="00BB4176"/>
    <w:rsid w:val="00BB7CE7"/>
    <w:rsid w:val="00BD019C"/>
    <w:rsid w:val="00BD26BD"/>
    <w:rsid w:val="00BD3E30"/>
    <w:rsid w:val="00BD4F71"/>
    <w:rsid w:val="00BD57CD"/>
    <w:rsid w:val="00BE46B5"/>
    <w:rsid w:val="00BF207E"/>
    <w:rsid w:val="00BF3C4F"/>
    <w:rsid w:val="00BF44DC"/>
    <w:rsid w:val="00BF6124"/>
    <w:rsid w:val="00C0081C"/>
    <w:rsid w:val="00C0456B"/>
    <w:rsid w:val="00C06139"/>
    <w:rsid w:val="00C06D98"/>
    <w:rsid w:val="00C06F92"/>
    <w:rsid w:val="00C109E4"/>
    <w:rsid w:val="00C15F3A"/>
    <w:rsid w:val="00C16322"/>
    <w:rsid w:val="00C3611D"/>
    <w:rsid w:val="00C37C2F"/>
    <w:rsid w:val="00C444BF"/>
    <w:rsid w:val="00C50271"/>
    <w:rsid w:val="00C5133B"/>
    <w:rsid w:val="00C53723"/>
    <w:rsid w:val="00C53E12"/>
    <w:rsid w:val="00C54C3F"/>
    <w:rsid w:val="00C5750E"/>
    <w:rsid w:val="00C607A1"/>
    <w:rsid w:val="00C62436"/>
    <w:rsid w:val="00C648C7"/>
    <w:rsid w:val="00C65B2C"/>
    <w:rsid w:val="00C663DF"/>
    <w:rsid w:val="00C6759E"/>
    <w:rsid w:val="00C7188A"/>
    <w:rsid w:val="00C72D21"/>
    <w:rsid w:val="00C73B22"/>
    <w:rsid w:val="00C8061E"/>
    <w:rsid w:val="00C81047"/>
    <w:rsid w:val="00C828F2"/>
    <w:rsid w:val="00C8640B"/>
    <w:rsid w:val="00C93E8F"/>
    <w:rsid w:val="00C947AE"/>
    <w:rsid w:val="00C94DBD"/>
    <w:rsid w:val="00C94FEE"/>
    <w:rsid w:val="00C97C68"/>
    <w:rsid w:val="00CA48DF"/>
    <w:rsid w:val="00CA75AF"/>
    <w:rsid w:val="00CB415A"/>
    <w:rsid w:val="00CB422B"/>
    <w:rsid w:val="00CB51A0"/>
    <w:rsid w:val="00CC15B7"/>
    <w:rsid w:val="00CC3518"/>
    <w:rsid w:val="00CC3973"/>
    <w:rsid w:val="00CD00F6"/>
    <w:rsid w:val="00CD46E8"/>
    <w:rsid w:val="00CD7F02"/>
    <w:rsid w:val="00CE5593"/>
    <w:rsid w:val="00CE5766"/>
    <w:rsid w:val="00CE65BF"/>
    <w:rsid w:val="00CF37BD"/>
    <w:rsid w:val="00CF4680"/>
    <w:rsid w:val="00CF5067"/>
    <w:rsid w:val="00CF5C87"/>
    <w:rsid w:val="00CF5CC2"/>
    <w:rsid w:val="00D012BF"/>
    <w:rsid w:val="00D017BC"/>
    <w:rsid w:val="00D027FF"/>
    <w:rsid w:val="00D03B22"/>
    <w:rsid w:val="00D062FF"/>
    <w:rsid w:val="00D1091A"/>
    <w:rsid w:val="00D10963"/>
    <w:rsid w:val="00D11ED9"/>
    <w:rsid w:val="00D1240E"/>
    <w:rsid w:val="00D1322C"/>
    <w:rsid w:val="00D139A4"/>
    <w:rsid w:val="00D1453F"/>
    <w:rsid w:val="00D15BD2"/>
    <w:rsid w:val="00D17AD0"/>
    <w:rsid w:val="00D20B91"/>
    <w:rsid w:val="00D20C29"/>
    <w:rsid w:val="00D20EA6"/>
    <w:rsid w:val="00D235E6"/>
    <w:rsid w:val="00D2755C"/>
    <w:rsid w:val="00D30C93"/>
    <w:rsid w:val="00D30EAF"/>
    <w:rsid w:val="00D31151"/>
    <w:rsid w:val="00D3169B"/>
    <w:rsid w:val="00D3637C"/>
    <w:rsid w:val="00D41447"/>
    <w:rsid w:val="00D42EC2"/>
    <w:rsid w:val="00D466A2"/>
    <w:rsid w:val="00D47A9B"/>
    <w:rsid w:val="00D51BF1"/>
    <w:rsid w:val="00D57454"/>
    <w:rsid w:val="00D64EAB"/>
    <w:rsid w:val="00D674F2"/>
    <w:rsid w:val="00D7233E"/>
    <w:rsid w:val="00D74E18"/>
    <w:rsid w:val="00D8099F"/>
    <w:rsid w:val="00D824B0"/>
    <w:rsid w:val="00D86E86"/>
    <w:rsid w:val="00D87ACF"/>
    <w:rsid w:val="00D9314A"/>
    <w:rsid w:val="00D9555E"/>
    <w:rsid w:val="00D955F8"/>
    <w:rsid w:val="00DA1016"/>
    <w:rsid w:val="00DA1692"/>
    <w:rsid w:val="00DA25D0"/>
    <w:rsid w:val="00DA3E8A"/>
    <w:rsid w:val="00DB13B7"/>
    <w:rsid w:val="00DB20FB"/>
    <w:rsid w:val="00DB492C"/>
    <w:rsid w:val="00DB6C5B"/>
    <w:rsid w:val="00DB7480"/>
    <w:rsid w:val="00DC606A"/>
    <w:rsid w:val="00DC66C4"/>
    <w:rsid w:val="00DD2868"/>
    <w:rsid w:val="00DD6C09"/>
    <w:rsid w:val="00DE1380"/>
    <w:rsid w:val="00DE29B4"/>
    <w:rsid w:val="00DE2E6F"/>
    <w:rsid w:val="00DE4686"/>
    <w:rsid w:val="00DE55DB"/>
    <w:rsid w:val="00DE5B24"/>
    <w:rsid w:val="00DF1B7C"/>
    <w:rsid w:val="00DF36F0"/>
    <w:rsid w:val="00DF5F93"/>
    <w:rsid w:val="00E03AA8"/>
    <w:rsid w:val="00E10DCD"/>
    <w:rsid w:val="00E12D84"/>
    <w:rsid w:val="00E21074"/>
    <w:rsid w:val="00E25C56"/>
    <w:rsid w:val="00E26E9A"/>
    <w:rsid w:val="00E314D8"/>
    <w:rsid w:val="00E31520"/>
    <w:rsid w:val="00E32C9C"/>
    <w:rsid w:val="00E363B2"/>
    <w:rsid w:val="00E373F6"/>
    <w:rsid w:val="00E40191"/>
    <w:rsid w:val="00E4248D"/>
    <w:rsid w:val="00E43C22"/>
    <w:rsid w:val="00E46868"/>
    <w:rsid w:val="00E46F3E"/>
    <w:rsid w:val="00E505E5"/>
    <w:rsid w:val="00E51FBC"/>
    <w:rsid w:val="00E53FA7"/>
    <w:rsid w:val="00E54095"/>
    <w:rsid w:val="00E568AF"/>
    <w:rsid w:val="00E6274D"/>
    <w:rsid w:val="00E62E68"/>
    <w:rsid w:val="00E62EF8"/>
    <w:rsid w:val="00E659FE"/>
    <w:rsid w:val="00E66210"/>
    <w:rsid w:val="00E66877"/>
    <w:rsid w:val="00E73EA6"/>
    <w:rsid w:val="00E76F68"/>
    <w:rsid w:val="00E85734"/>
    <w:rsid w:val="00E86A5B"/>
    <w:rsid w:val="00E87038"/>
    <w:rsid w:val="00E94921"/>
    <w:rsid w:val="00E973B4"/>
    <w:rsid w:val="00EA217B"/>
    <w:rsid w:val="00EA5194"/>
    <w:rsid w:val="00EA6A16"/>
    <w:rsid w:val="00EB1FD4"/>
    <w:rsid w:val="00EB4AD4"/>
    <w:rsid w:val="00EC09CA"/>
    <w:rsid w:val="00EC0ABC"/>
    <w:rsid w:val="00EC0C8F"/>
    <w:rsid w:val="00EC333D"/>
    <w:rsid w:val="00ED12D4"/>
    <w:rsid w:val="00ED1904"/>
    <w:rsid w:val="00ED2C8F"/>
    <w:rsid w:val="00ED4B60"/>
    <w:rsid w:val="00ED7616"/>
    <w:rsid w:val="00ED7C87"/>
    <w:rsid w:val="00EF3FEE"/>
    <w:rsid w:val="00F00CCF"/>
    <w:rsid w:val="00F06883"/>
    <w:rsid w:val="00F10858"/>
    <w:rsid w:val="00F210F8"/>
    <w:rsid w:val="00F213EE"/>
    <w:rsid w:val="00F31846"/>
    <w:rsid w:val="00F33DE9"/>
    <w:rsid w:val="00F33E9F"/>
    <w:rsid w:val="00F3608C"/>
    <w:rsid w:val="00F36CBC"/>
    <w:rsid w:val="00F42A50"/>
    <w:rsid w:val="00F4326D"/>
    <w:rsid w:val="00F432EA"/>
    <w:rsid w:val="00F43B04"/>
    <w:rsid w:val="00F45E85"/>
    <w:rsid w:val="00F47BFE"/>
    <w:rsid w:val="00F65AB0"/>
    <w:rsid w:val="00F76615"/>
    <w:rsid w:val="00F810E2"/>
    <w:rsid w:val="00F81CFA"/>
    <w:rsid w:val="00F831AF"/>
    <w:rsid w:val="00F8423B"/>
    <w:rsid w:val="00F92B8E"/>
    <w:rsid w:val="00F95BFA"/>
    <w:rsid w:val="00FA07C5"/>
    <w:rsid w:val="00FA6813"/>
    <w:rsid w:val="00FB0109"/>
    <w:rsid w:val="00FB0C81"/>
    <w:rsid w:val="00FB2FFA"/>
    <w:rsid w:val="00FB6981"/>
    <w:rsid w:val="00FC2888"/>
    <w:rsid w:val="00FC2D91"/>
    <w:rsid w:val="00FC404A"/>
    <w:rsid w:val="00FD0620"/>
    <w:rsid w:val="00FD1C99"/>
    <w:rsid w:val="00FD32EF"/>
    <w:rsid w:val="00FD6C07"/>
    <w:rsid w:val="00FE1570"/>
    <w:rsid w:val="00FE2B9E"/>
    <w:rsid w:val="00FE5BDA"/>
    <w:rsid w:val="00FE5DB1"/>
    <w:rsid w:val="00FE70F7"/>
    <w:rsid w:val="00FF3073"/>
    <w:rsid w:val="00FF79F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2B7B14"/>
  <w15:docId w15:val="{396836F0-8A65-480E-A6A2-4DD4752D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447"/>
    <w:pPr>
      <w:suppressAutoHyphens/>
    </w:pPr>
    <w:rPr>
      <w:rFonts w:ascii="Arial" w:hAnsi="Arial"/>
      <w:szCs w:val="24"/>
      <w:lang w:eastAsia="ar-SA"/>
    </w:rPr>
  </w:style>
  <w:style w:type="paragraph" w:styleId="Titre1">
    <w:name w:val="heading 1"/>
    <w:basedOn w:val="Normal"/>
    <w:next w:val="Normal"/>
    <w:qFormat/>
    <w:pPr>
      <w:keepNext/>
      <w:spacing w:before="240" w:after="60"/>
      <w:outlineLvl w:val="0"/>
    </w:pPr>
    <w:rPr>
      <w:rFonts w:cs="Arial"/>
      <w:b/>
      <w:bCs/>
      <w:kern w:val="1"/>
      <w:sz w:val="32"/>
      <w:szCs w:val="32"/>
    </w:rPr>
  </w:style>
  <w:style w:type="paragraph" w:styleId="Titre2">
    <w:name w:val="heading 2"/>
    <w:basedOn w:val="Normal"/>
    <w:next w:val="Normal"/>
    <w:link w:val="Titre2Car"/>
    <w:uiPriority w:val="9"/>
    <w:semiHidden/>
    <w:unhideWhenUsed/>
    <w:qFormat/>
    <w:rsid w:val="00DF1B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qFormat/>
    <w:pPr>
      <w:keepNext/>
      <w:spacing w:before="240" w:after="60"/>
      <w:outlineLvl w:val="2"/>
    </w:pPr>
    <w:rPr>
      <w:rFonts w:cs="Arial"/>
      <w:b/>
      <w:bCs/>
      <w:sz w:val="26"/>
      <w:szCs w:val="26"/>
    </w:rPr>
  </w:style>
  <w:style w:type="paragraph" w:styleId="Titre4">
    <w:name w:val="heading 4"/>
    <w:basedOn w:val="Heading"/>
    <w:next w:val="Corpsdetexte"/>
    <w:qFormat/>
    <w:pPr>
      <w:numPr>
        <w:ilvl w:val="3"/>
        <w:numId w:val="1"/>
      </w:numPr>
      <w:outlineLvl w:val="3"/>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Numrodepage">
    <w:name w:val="page number"/>
    <w:basedOn w:val="Policepardfaut"/>
    <w:semiHidden/>
  </w:style>
  <w:style w:type="character" w:customStyle="1" w:styleId="FootnoteCharacters">
    <w:name w:val="Footnote Characters"/>
    <w:rPr>
      <w:vertAlign w:val="superscript"/>
    </w:rPr>
  </w:style>
  <w:style w:type="character" w:customStyle="1" w:styleId="apple-style-span">
    <w:name w:val="apple-style-span"/>
    <w:basedOn w:val="Policepardfaut"/>
  </w:style>
  <w:style w:type="character" w:customStyle="1" w:styleId="MyBulletedChar">
    <w:name w:val="MyBulleted Char"/>
    <w:rPr>
      <w:rFonts w:ascii="Arial" w:hAnsi="Arial"/>
      <w:szCs w:val="24"/>
      <w:lang w:val="fr-BE" w:eastAsia="ar-SA" w:bidi="ar-SA"/>
    </w:rPr>
  </w:style>
  <w:style w:type="character" w:customStyle="1" w:styleId="MyBulleted-3Char">
    <w:name w:val="MyBulleted-3 Char"/>
    <w:basedOn w:val="MyBulletedChar"/>
    <w:rPr>
      <w:rFonts w:ascii="Arial" w:hAnsi="Arial"/>
      <w:szCs w:val="24"/>
      <w:lang w:val="fr-BE" w:eastAsia="ar-SA" w:bidi="ar-SA"/>
    </w:rPr>
  </w:style>
  <w:style w:type="character" w:customStyle="1" w:styleId="StyleMyBulleted-3-ex11pt1Char">
    <w:name w:val="Style MyBulleted-3-ex + 11 pt1 Char"/>
    <w:rPr>
      <w:i/>
      <w:iCs/>
      <w:sz w:val="22"/>
      <w:szCs w:val="24"/>
      <w:lang w:val="fr-BE" w:eastAsia="ar-SA" w:bidi="ar-SA"/>
    </w:rPr>
  </w:style>
  <w:style w:type="character" w:styleId="Lienhypertexte">
    <w:name w:val="Hyperlink"/>
    <w:uiPriority w:val="99"/>
    <w:rPr>
      <w:color w:val="0000FF"/>
      <w:u w:val="single"/>
    </w:rPr>
  </w:style>
  <w:style w:type="character" w:styleId="Appelnotedebasdep">
    <w:name w:val="footnote reference"/>
    <w:uiPriority w:val="99"/>
    <w:semiHidden/>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Appeldenotedefin">
    <w:name w:val="endnote reference"/>
    <w:semiHidden/>
    <w:rPr>
      <w:vertAlign w:val="superscript"/>
    </w:rPr>
  </w:style>
  <w:style w:type="paragraph" w:customStyle="1" w:styleId="Heading">
    <w:name w:val="Heading"/>
    <w:basedOn w:val="Normal"/>
    <w:next w:val="Corpsdetexte"/>
    <w:pPr>
      <w:keepNext/>
      <w:spacing w:before="240" w:after="120"/>
    </w:pPr>
    <w:rPr>
      <w:rFonts w:eastAsia="SimSun"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styleId="Lgende">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En-tte">
    <w:name w:val="header"/>
    <w:basedOn w:val="Normal"/>
    <w:semiHidden/>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customStyle="1" w:styleId="MyBulleted">
    <w:name w:val="MyBulleted"/>
    <w:basedOn w:val="Normal"/>
    <w:pPr>
      <w:spacing w:after="120"/>
      <w:jc w:val="both"/>
    </w:pPr>
  </w:style>
  <w:style w:type="paragraph" w:styleId="Notedebasdepage">
    <w:name w:val="footnote text"/>
    <w:basedOn w:val="Normal"/>
    <w:link w:val="NotedebasdepageCar"/>
    <w:uiPriority w:val="99"/>
    <w:semiHidden/>
    <w:pPr>
      <w:spacing w:after="40"/>
      <w:ind w:left="142" w:hanging="142"/>
    </w:pPr>
    <w:rPr>
      <w:sz w:val="18"/>
      <w:szCs w:val="20"/>
    </w:rPr>
  </w:style>
  <w:style w:type="paragraph" w:customStyle="1" w:styleId="MyParagr">
    <w:name w:val="MyParagr"/>
    <w:basedOn w:val="Normal"/>
    <w:pPr>
      <w:spacing w:after="120"/>
      <w:jc w:val="both"/>
    </w:pPr>
  </w:style>
  <w:style w:type="paragraph" w:customStyle="1" w:styleId="MyItem">
    <w:name w:val="MyItem"/>
    <w:basedOn w:val="Normal"/>
  </w:style>
  <w:style w:type="paragraph" w:customStyle="1" w:styleId="MySection">
    <w:name w:val="MySection"/>
    <w:basedOn w:val="MyParagr"/>
    <w:rsid w:val="00653276"/>
    <w:pPr>
      <w:numPr>
        <w:numId w:val="27"/>
      </w:numPr>
      <w:spacing w:before="240"/>
      <w:jc w:val="left"/>
    </w:pPr>
    <w:rPr>
      <w:b/>
      <w:sz w:val="28"/>
      <w:szCs w:val="26"/>
    </w:rPr>
  </w:style>
  <w:style w:type="paragraph" w:customStyle="1" w:styleId="MyParagr-n2">
    <w:name w:val="MyParagr-n2"/>
    <w:basedOn w:val="MyParagr"/>
    <w:autoRedefine/>
    <w:rsid w:val="00C97C68"/>
    <w:pPr>
      <w:spacing w:before="120"/>
      <w:ind w:left="851"/>
    </w:pPr>
  </w:style>
  <w:style w:type="paragraph" w:customStyle="1" w:styleId="MySection-1">
    <w:name w:val="MySection-1"/>
    <w:basedOn w:val="MySection"/>
    <w:next w:val="MyParagr-n2"/>
    <w:rsid w:val="00DF1B7C"/>
    <w:pPr>
      <w:keepNext/>
      <w:keepLines/>
      <w:suppressAutoHyphens w:val="0"/>
      <w:spacing w:before="360"/>
    </w:pPr>
    <w:rPr>
      <w:lang w:eastAsia="en-US"/>
    </w:rPr>
  </w:style>
  <w:style w:type="paragraph" w:customStyle="1" w:styleId="MyParagr-n3">
    <w:name w:val="MyParagr-n3"/>
    <w:basedOn w:val="MyParagr-n2"/>
    <w:rsid w:val="00516AAE"/>
    <w:pPr>
      <w:numPr>
        <w:ilvl w:val="2"/>
      </w:numPr>
      <w:tabs>
        <w:tab w:val="left" w:pos="1843"/>
      </w:tabs>
      <w:ind w:left="851"/>
    </w:pPr>
  </w:style>
  <w:style w:type="paragraph" w:customStyle="1" w:styleId="MyBulleted-3">
    <w:name w:val="MyBulleted-3"/>
    <w:basedOn w:val="MyBulleted"/>
    <w:pPr>
      <w:numPr>
        <w:numId w:val="3"/>
      </w:numPr>
      <w:spacing w:after="60"/>
    </w:pPr>
  </w:style>
  <w:style w:type="paragraph" w:customStyle="1" w:styleId="MyParagr-2">
    <w:name w:val="MyParagr-2"/>
    <w:basedOn w:val="MyParagr"/>
    <w:pPr>
      <w:ind w:left="567"/>
    </w:pPr>
  </w:style>
  <w:style w:type="paragraph" w:customStyle="1" w:styleId="MyParagr-n2-cont">
    <w:name w:val="MyParagr-n2-cont"/>
    <w:basedOn w:val="MyParagr-n2"/>
    <w:autoRedefine/>
    <w:rsid w:val="00C97C68"/>
  </w:style>
  <w:style w:type="paragraph" w:customStyle="1" w:styleId="MyPartie">
    <w:name w:val="MyPartie"/>
    <w:basedOn w:val="Titre1"/>
    <w:pPr>
      <w:numPr>
        <w:numId w:val="1"/>
      </w:numPr>
      <w:spacing w:after="240"/>
      <w:ind w:left="0" w:firstLine="0"/>
      <w:jc w:val="center"/>
    </w:pPr>
  </w:style>
  <w:style w:type="paragraph" w:customStyle="1" w:styleId="StyleMyBulleted-3-ex11pt">
    <w:name w:val="Style MyBulleted-3-ex + 11 pt"/>
    <w:basedOn w:val="Normal"/>
    <w:pPr>
      <w:tabs>
        <w:tab w:val="num" w:pos="2988"/>
      </w:tabs>
      <w:spacing w:after="60"/>
      <w:ind w:left="2988" w:hanging="360"/>
      <w:jc w:val="both"/>
    </w:pPr>
    <w:rPr>
      <w:rFonts w:ascii="Times New Roman" w:hAnsi="Times New Roman"/>
      <w:i/>
      <w:iCs/>
      <w:sz w:val="22"/>
    </w:rPr>
  </w:style>
  <w:style w:type="paragraph" w:customStyle="1" w:styleId="StyleMyBulleted-3-ex11pt1">
    <w:name w:val="Style MyBulleted-3-ex + 11 pt1"/>
    <w:basedOn w:val="Normal"/>
    <w:pPr>
      <w:tabs>
        <w:tab w:val="num" w:pos="2988"/>
      </w:tabs>
      <w:spacing w:after="60"/>
      <w:ind w:left="2988" w:hanging="360"/>
      <w:jc w:val="both"/>
    </w:pPr>
    <w:rPr>
      <w:rFonts w:ascii="Times New Roman" w:hAnsi="Times New Roman"/>
      <w:i/>
      <w:iCs/>
      <w:sz w:val="22"/>
    </w:rPr>
  </w:style>
  <w:style w:type="paragraph" w:customStyle="1" w:styleId="MyBulleted-3-ex">
    <w:name w:val="MyBulleted-3-ex"/>
    <w:basedOn w:val="Normal"/>
    <w:pPr>
      <w:tabs>
        <w:tab w:val="left" w:pos="1701"/>
        <w:tab w:val="num" w:pos="2988"/>
      </w:tabs>
      <w:spacing w:after="60"/>
      <w:ind w:left="1701" w:right="560" w:hanging="283"/>
      <w:jc w:val="both"/>
    </w:pPr>
    <w:rPr>
      <w:rFonts w:ascii="Verdana" w:hAnsi="Verdana"/>
      <w:i/>
      <w:color w:val="525A66"/>
      <w:sz w:val="17"/>
      <w:szCs w:val="17"/>
    </w:rPr>
  </w:style>
  <w:style w:type="paragraph" w:customStyle="1" w:styleId="MyBulleted-3-ex-sh">
    <w:name w:val="MyBulleted-3-ex-sh"/>
    <w:basedOn w:val="MyBulleted-3-ex"/>
    <w:pPr>
      <w:tabs>
        <w:tab w:val="left" w:pos="2268"/>
      </w:tabs>
      <w:ind w:left="2268"/>
    </w:pPr>
  </w:style>
  <w:style w:type="paragraph" w:customStyle="1" w:styleId="MyBulleted-3-ex-cont">
    <w:name w:val="MyBulleted-3-ex-cont"/>
    <w:basedOn w:val="MyBulleted-3-ex"/>
    <w:pPr>
      <w:tabs>
        <w:tab w:val="clear" w:pos="2988"/>
      </w:tabs>
      <w:ind w:right="0" w:firstLine="0"/>
    </w:pPr>
  </w:style>
  <w:style w:type="paragraph" w:customStyle="1" w:styleId="MyLettered-3">
    <w:name w:val="MyLettered-3"/>
    <w:basedOn w:val="MyBulleted-3"/>
    <w:pPr>
      <w:numPr>
        <w:numId w:val="5"/>
      </w:numPr>
    </w:pPr>
  </w:style>
  <w:style w:type="paragraph" w:styleId="TM1">
    <w:name w:val="toc 1"/>
    <w:basedOn w:val="Normal"/>
    <w:next w:val="Normal"/>
    <w:uiPriority w:val="39"/>
    <w:qFormat/>
  </w:style>
  <w:style w:type="paragraph" w:styleId="TM2">
    <w:name w:val="toc 2"/>
    <w:basedOn w:val="Normal"/>
    <w:next w:val="Normal"/>
    <w:uiPriority w:val="39"/>
    <w:qFormat/>
    <w:pPr>
      <w:ind w:left="200"/>
    </w:pPr>
  </w:style>
  <w:style w:type="paragraph" w:customStyle="1" w:styleId="MyBulleted-1">
    <w:name w:val="MyBulleted-1"/>
    <w:basedOn w:val="MyBulleted-3"/>
    <w:pPr>
      <w:numPr>
        <w:numId w:val="4"/>
      </w:numPr>
    </w:pPr>
  </w:style>
  <w:style w:type="paragraph" w:styleId="TM3">
    <w:name w:val="toc 3"/>
    <w:basedOn w:val="Index"/>
    <w:uiPriority w:val="39"/>
    <w:semiHidden/>
    <w:qFormat/>
    <w:pPr>
      <w:tabs>
        <w:tab w:val="right" w:leader="dot" w:pos="9072"/>
      </w:tabs>
      <w:ind w:left="566"/>
    </w:pPr>
  </w:style>
  <w:style w:type="paragraph" w:styleId="TM4">
    <w:name w:val="toc 4"/>
    <w:basedOn w:val="Index"/>
    <w:semiHidden/>
    <w:pPr>
      <w:tabs>
        <w:tab w:val="right" w:leader="dot" w:pos="8789"/>
      </w:tabs>
      <w:ind w:left="849"/>
    </w:pPr>
  </w:style>
  <w:style w:type="paragraph" w:styleId="TM5">
    <w:name w:val="toc 5"/>
    <w:basedOn w:val="Index"/>
    <w:semiHidden/>
    <w:pPr>
      <w:tabs>
        <w:tab w:val="right" w:leader="dot" w:pos="8506"/>
      </w:tabs>
      <w:ind w:left="1132"/>
    </w:pPr>
  </w:style>
  <w:style w:type="paragraph" w:styleId="TM6">
    <w:name w:val="toc 6"/>
    <w:basedOn w:val="Index"/>
    <w:semiHidden/>
    <w:pPr>
      <w:tabs>
        <w:tab w:val="right" w:leader="dot" w:pos="8223"/>
      </w:tabs>
      <w:ind w:left="1415"/>
    </w:pPr>
  </w:style>
  <w:style w:type="paragraph" w:styleId="TM7">
    <w:name w:val="toc 7"/>
    <w:basedOn w:val="Index"/>
    <w:semiHidden/>
    <w:pPr>
      <w:tabs>
        <w:tab w:val="right" w:leader="dot" w:pos="7940"/>
      </w:tabs>
      <w:ind w:left="1698"/>
    </w:pPr>
  </w:style>
  <w:style w:type="paragraph" w:styleId="TM8">
    <w:name w:val="toc 8"/>
    <w:basedOn w:val="Index"/>
    <w:semiHidden/>
    <w:pPr>
      <w:tabs>
        <w:tab w:val="right" w:leader="dot" w:pos="7657"/>
      </w:tabs>
      <w:ind w:left="1981"/>
    </w:pPr>
  </w:style>
  <w:style w:type="paragraph" w:styleId="TM9">
    <w:name w:val="toc 9"/>
    <w:basedOn w:val="Index"/>
    <w:semiHidden/>
    <w:pPr>
      <w:tabs>
        <w:tab w:val="right" w:leader="dot" w:pos="7374"/>
      </w:tabs>
      <w:ind w:left="2264"/>
    </w:pPr>
  </w:style>
  <w:style w:type="paragraph" w:customStyle="1" w:styleId="Contents10">
    <w:name w:val="Contents 10"/>
    <w:basedOn w:val="Index"/>
    <w:pPr>
      <w:tabs>
        <w:tab w:val="right" w:leader="dot" w:pos="7091"/>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extedebulles">
    <w:name w:val="Balloon Text"/>
    <w:basedOn w:val="Normal"/>
    <w:link w:val="TextedebullesCar"/>
    <w:uiPriority w:val="99"/>
    <w:semiHidden/>
    <w:unhideWhenUsed/>
    <w:rsid w:val="0091228D"/>
    <w:rPr>
      <w:rFonts w:ascii="Tahoma" w:hAnsi="Tahoma"/>
      <w:sz w:val="16"/>
      <w:szCs w:val="16"/>
      <w:lang w:val="x-none"/>
    </w:rPr>
  </w:style>
  <w:style w:type="character" w:customStyle="1" w:styleId="TextedebullesCar">
    <w:name w:val="Texte de bulles Car"/>
    <w:link w:val="Textedebulles"/>
    <w:uiPriority w:val="99"/>
    <w:semiHidden/>
    <w:rsid w:val="0091228D"/>
    <w:rPr>
      <w:rFonts w:ascii="Tahoma" w:hAnsi="Tahoma" w:cs="Tahoma"/>
      <w:sz w:val="16"/>
      <w:szCs w:val="16"/>
      <w:lang w:eastAsia="ar-SA"/>
    </w:rPr>
  </w:style>
  <w:style w:type="paragraph" w:customStyle="1" w:styleId="Bibref">
    <w:name w:val="Bibref"/>
    <w:basedOn w:val="Normal"/>
    <w:qFormat/>
    <w:rsid w:val="00877BCA"/>
    <w:pPr>
      <w:tabs>
        <w:tab w:val="left" w:pos="1985"/>
      </w:tabs>
      <w:suppressAutoHyphens w:val="0"/>
      <w:spacing w:after="80"/>
      <w:ind w:left="1985" w:right="-573" w:hanging="1985"/>
    </w:pPr>
    <w:rPr>
      <w:szCs w:val="18"/>
      <w:lang w:eastAsia="en-US"/>
    </w:rPr>
  </w:style>
  <w:style w:type="paragraph" w:styleId="En-ttedetabledesmatires">
    <w:name w:val="TOC Heading"/>
    <w:basedOn w:val="Titre1"/>
    <w:next w:val="Normal"/>
    <w:uiPriority w:val="39"/>
    <w:semiHidden/>
    <w:unhideWhenUsed/>
    <w:qFormat/>
    <w:rsid w:val="00DF1B7C"/>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Titre2Car">
    <w:name w:val="Titre 2 Car"/>
    <w:basedOn w:val="Policepardfaut"/>
    <w:link w:val="Titre2"/>
    <w:uiPriority w:val="9"/>
    <w:semiHidden/>
    <w:rsid w:val="00DF1B7C"/>
    <w:rPr>
      <w:rFonts w:asciiTheme="majorHAnsi" w:eastAsiaTheme="majorEastAsia" w:hAnsiTheme="majorHAnsi" w:cstheme="majorBidi"/>
      <w:b/>
      <w:bCs/>
      <w:color w:val="4F81BD" w:themeColor="accent1"/>
      <w:sz w:val="26"/>
      <w:szCs w:val="26"/>
      <w:lang w:eastAsia="ar-SA"/>
    </w:rPr>
  </w:style>
  <w:style w:type="paragraph" w:customStyle="1" w:styleId="Deco">
    <w:name w:val="Deco"/>
    <w:basedOn w:val="Normal"/>
    <w:qFormat/>
    <w:rsid w:val="001E0DDC"/>
    <w:pPr>
      <w:suppressAutoHyphens w:val="0"/>
      <w:spacing w:before="240"/>
    </w:pPr>
    <w:rPr>
      <w:b/>
      <w:noProof/>
      <w:color w:val="FF0000"/>
      <w:sz w:val="28"/>
      <w:lang w:val="en-US" w:eastAsia="en-US"/>
    </w:rPr>
  </w:style>
  <w:style w:type="paragraph" w:customStyle="1" w:styleId="Deco-text">
    <w:name w:val="Deco-text"/>
    <w:basedOn w:val="MyParagr-n2"/>
    <w:qFormat/>
    <w:rsid w:val="001E0DDC"/>
    <w:pPr>
      <w:suppressAutoHyphens w:val="0"/>
      <w:ind w:left="567"/>
    </w:pPr>
    <w:rPr>
      <w:color w:val="FF0000"/>
      <w:lang w:eastAsia="en-US"/>
    </w:rPr>
  </w:style>
  <w:style w:type="paragraph" w:customStyle="1" w:styleId="MyBulleted1">
    <w:name w:val="MyBulleted1"/>
    <w:basedOn w:val="Normal"/>
    <w:rsid w:val="006B53D1"/>
    <w:pPr>
      <w:tabs>
        <w:tab w:val="num" w:pos="2340"/>
      </w:tabs>
      <w:suppressAutoHyphens w:val="0"/>
      <w:ind w:left="2340" w:hanging="360"/>
    </w:pPr>
    <w:rPr>
      <w:lang w:val="en-US" w:eastAsia="en-US"/>
    </w:rPr>
  </w:style>
  <w:style w:type="paragraph" w:styleId="NormalWeb">
    <w:name w:val="Normal (Web)"/>
    <w:basedOn w:val="Normal"/>
    <w:uiPriority w:val="99"/>
    <w:semiHidden/>
    <w:unhideWhenUsed/>
    <w:rsid w:val="00D1240E"/>
    <w:pPr>
      <w:suppressAutoHyphens w:val="0"/>
      <w:spacing w:before="100" w:beforeAutospacing="1" w:after="100" w:afterAutospacing="1"/>
    </w:pPr>
    <w:rPr>
      <w:rFonts w:ascii="Times New Roman" w:hAnsi="Times New Roman"/>
      <w:sz w:val="24"/>
      <w:lang w:eastAsia="fr-BE"/>
    </w:rPr>
  </w:style>
  <w:style w:type="character" w:styleId="Accentuation">
    <w:name w:val="Emphasis"/>
    <w:basedOn w:val="Policepardfaut"/>
    <w:uiPriority w:val="20"/>
    <w:qFormat/>
    <w:rsid w:val="00D1240E"/>
    <w:rPr>
      <w:i/>
      <w:iCs/>
    </w:rPr>
  </w:style>
  <w:style w:type="character" w:customStyle="1" w:styleId="citationauteur1">
    <w:name w:val="citation_auteur1"/>
    <w:basedOn w:val="Policepardfaut"/>
    <w:rsid w:val="00D1240E"/>
    <w:rPr>
      <w:rFonts w:ascii="Verdana" w:hAnsi="Verdana" w:hint="default"/>
      <w:i w:val="0"/>
      <w:iCs w:val="0"/>
      <w:color w:val="339900"/>
      <w:sz w:val="15"/>
      <w:szCs w:val="15"/>
    </w:rPr>
  </w:style>
  <w:style w:type="paragraph" w:customStyle="1" w:styleId="texte">
    <w:name w:val="texte"/>
    <w:basedOn w:val="Normal"/>
    <w:rsid w:val="00875F63"/>
    <w:pPr>
      <w:suppressAutoHyphens w:val="0"/>
      <w:spacing w:before="100" w:beforeAutospacing="1" w:after="100" w:afterAutospacing="1" w:line="300" w:lineRule="atLeast"/>
      <w:ind w:firstLine="600"/>
      <w:jc w:val="both"/>
    </w:pPr>
    <w:rPr>
      <w:rFonts w:ascii="Verdana" w:hAnsi="Verdana"/>
      <w:color w:val="000000"/>
      <w:sz w:val="18"/>
      <w:szCs w:val="18"/>
      <w:lang w:eastAsia="fr-BE"/>
    </w:rPr>
  </w:style>
  <w:style w:type="character" w:styleId="lev">
    <w:name w:val="Strong"/>
    <w:basedOn w:val="Policepardfaut"/>
    <w:uiPriority w:val="22"/>
    <w:qFormat/>
    <w:rsid w:val="00875F63"/>
    <w:rPr>
      <w:b/>
      <w:bCs/>
    </w:rPr>
  </w:style>
  <w:style w:type="character" w:customStyle="1" w:styleId="hps">
    <w:name w:val="hps"/>
    <w:basedOn w:val="Policepardfaut"/>
    <w:rsid w:val="00AA3128"/>
  </w:style>
  <w:style w:type="character" w:styleId="Lienhypertextesuivivisit">
    <w:name w:val="FollowedHyperlink"/>
    <w:basedOn w:val="Policepardfaut"/>
    <w:uiPriority w:val="99"/>
    <w:semiHidden/>
    <w:unhideWhenUsed/>
    <w:rsid w:val="002816DF"/>
    <w:rPr>
      <w:color w:val="800080" w:themeColor="followedHyperlink"/>
      <w:u w:val="single"/>
    </w:rPr>
  </w:style>
  <w:style w:type="paragraph" w:styleId="Rvision">
    <w:name w:val="Revision"/>
    <w:hidden/>
    <w:uiPriority w:val="99"/>
    <w:semiHidden/>
    <w:rsid w:val="0028257F"/>
    <w:rPr>
      <w:rFonts w:ascii="Arial" w:hAnsi="Arial"/>
      <w:szCs w:val="24"/>
      <w:lang w:eastAsia="ar-SA"/>
    </w:rPr>
  </w:style>
  <w:style w:type="table" w:styleId="Grilledutableau">
    <w:name w:val="Table Grid"/>
    <w:basedOn w:val="TableauNormal"/>
    <w:uiPriority w:val="59"/>
    <w:rsid w:val="00430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09CC"/>
    <w:pPr>
      <w:suppressAutoHyphens w:val="0"/>
      <w:spacing w:before="240" w:after="240"/>
      <w:ind w:left="720"/>
      <w:contextualSpacing/>
    </w:pPr>
    <w:rPr>
      <w:rFonts w:eastAsiaTheme="minorHAnsi" w:cs="Arial"/>
      <w:szCs w:val="22"/>
      <w:lang w:val="en-US" w:eastAsia="en-US"/>
    </w:rPr>
  </w:style>
  <w:style w:type="character" w:customStyle="1" w:styleId="NotedebasdepageCar">
    <w:name w:val="Note de bas de page Car"/>
    <w:basedOn w:val="Policepardfaut"/>
    <w:link w:val="Notedebasdepage"/>
    <w:uiPriority w:val="99"/>
    <w:semiHidden/>
    <w:rsid w:val="004309CC"/>
    <w:rPr>
      <w:rFonts w:ascii="Arial" w:hAnsi="Arial"/>
      <w:sz w:val="18"/>
      <w:lang w:eastAsia="ar-SA"/>
    </w:rPr>
  </w:style>
  <w:style w:type="paragraph" w:styleId="Titre">
    <w:name w:val="Title"/>
    <w:basedOn w:val="Normal"/>
    <w:next w:val="Normal"/>
    <w:link w:val="TitreCar"/>
    <w:uiPriority w:val="10"/>
    <w:qFormat/>
    <w:rsid w:val="00C5750E"/>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C5750E"/>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Bulleted">
    <w:name w:val="Bulleted"/>
    <w:basedOn w:val="Paragraphedeliste"/>
    <w:qFormat/>
    <w:rsid w:val="00C5750E"/>
    <w:pPr>
      <w:numPr>
        <w:numId w:val="52"/>
      </w:numPr>
      <w:spacing w:before="0" w:after="120"/>
      <w:ind w:left="425" w:hanging="357"/>
      <w:contextualSpacing w:val="0"/>
    </w:pPr>
    <w:rPr>
      <w:szCs w:val="20"/>
      <w:lang w:val="fr-BE"/>
    </w:rPr>
  </w:style>
  <w:style w:type="paragraph" w:customStyle="1" w:styleId="Bulleted-1">
    <w:name w:val="Bulleted-1"/>
    <w:basedOn w:val="Bulleted"/>
    <w:qFormat/>
    <w:rsid w:val="00C5750E"/>
    <w:pPr>
      <w:spacing w:after="20"/>
      <w:ind w:left="568" w:hanging="284"/>
    </w:pPr>
  </w:style>
  <w:style w:type="paragraph" w:customStyle="1" w:styleId="Entry">
    <w:name w:val="Entry"/>
    <w:basedOn w:val="Bulleted"/>
    <w:qFormat/>
    <w:rsid w:val="00C5750E"/>
    <w:pPr>
      <w:numPr>
        <w:numId w:val="0"/>
      </w:numPr>
      <w:spacing w:before="60" w:after="60"/>
    </w:pPr>
    <w:rPr>
      <w:sz w:val="18"/>
    </w:rPr>
  </w:style>
  <w:style w:type="character" w:customStyle="1" w:styleId="apple-converted-space">
    <w:name w:val="apple-converted-space"/>
    <w:basedOn w:val="Policepardfaut"/>
    <w:rsid w:val="00014BE6"/>
  </w:style>
  <w:style w:type="character" w:customStyle="1" w:styleId="PieddepageCar">
    <w:name w:val="Pied de page Car"/>
    <w:basedOn w:val="Policepardfaut"/>
    <w:link w:val="Pieddepage"/>
    <w:uiPriority w:val="99"/>
    <w:rsid w:val="00C97C68"/>
    <w:rPr>
      <w:rFonts w:ascii="Arial" w:hAnsi="Arial"/>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2139">
      <w:bodyDiv w:val="1"/>
      <w:marLeft w:val="0"/>
      <w:marRight w:val="0"/>
      <w:marTop w:val="0"/>
      <w:marBottom w:val="0"/>
      <w:divBdr>
        <w:top w:val="none" w:sz="0" w:space="0" w:color="auto"/>
        <w:left w:val="none" w:sz="0" w:space="0" w:color="auto"/>
        <w:bottom w:val="none" w:sz="0" w:space="0" w:color="auto"/>
        <w:right w:val="none" w:sz="0" w:space="0" w:color="auto"/>
      </w:divBdr>
    </w:div>
    <w:div w:id="413282929">
      <w:bodyDiv w:val="1"/>
      <w:marLeft w:val="0"/>
      <w:marRight w:val="0"/>
      <w:marTop w:val="0"/>
      <w:marBottom w:val="0"/>
      <w:divBdr>
        <w:top w:val="none" w:sz="0" w:space="0" w:color="auto"/>
        <w:left w:val="none" w:sz="0" w:space="0" w:color="auto"/>
        <w:bottom w:val="none" w:sz="0" w:space="0" w:color="auto"/>
        <w:right w:val="none" w:sz="0" w:space="0" w:color="auto"/>
      </w:divBdr>
      <w:divsChild>
        <w:div w:id="1347901054">
          <w:marLeft w:val="0"/>
          <w:marRight w:val="0"/>
          <w:marTop w:val="0"/>
          <w:marBottom w:val="0"/>
          <w:divBdr>
            <w:top w:val="none" w:sz="0" w:space="0" w:color="auto"/>
            <w:left w:val="none" w:sz="0" w:space="0" w:color="auto"/>
            <w:bottom w:val="none" w:sz="0" w:space="0" w:color="auto"/>
            <w:right w:val="none" w:sz="0" w:space="0" w:color="auto"/>
          </w:divBdr>
          <w:divsChild>
            <w:div w:id="357632249">
              <w:marLeft w:val="0"/>
              <w:marRight w:val="0"/>
              <w:marTop w:val="0"/>
              <w:marBottom w:val="0"/>
              <w:divBdr>
                <w:top w:val="none" w:sz="0" w:space="0" w:color="auto"/>
                <w:left w:val="none" w:sz="0" w:space="0" w:color="auto"/>
                <w:bottom w:val="none" w:sz="0" w:space="0" w:color="auto"/>
                <w:right w:val="none" w:sz="0" w:space="0" w:color="auto"/>
              </w:divBdr>
            </w:div>
          </w:divsChild>
        </w:div>
        <w:div w:id="1226725730">
          <w:marLeft w:val="0"/>
          <w:marRight w:val="0"/>
          <w:marTop w:val="0"/>
          <w:marBottom w:val="0"/>
          <w:divBdr>
            <w:top w:val="none" w:sz="0" w:space="0" w:color="auto"/>
            <w:left w:val="none" w:sz="0" w:space="0" w:color="auto"/>
            <w:bottom w:val="none" w:sz="0" w:space="0" w:color="auto"/>
            <w:right w:val="none" w:sz="0" w:space="0" w:color="auto"/>
          </w:divBdr>
        </w:div>
      </w:divsChild>
    </w:div>
    <w:div w:id="467012782">
      <w:bodyDiv w:val="1"/>
      <w:marLeft w:val="0"/>
      <w:marRight w:val="0"/>
      <w:marTop w:val="0"/>
      <w:marBottom w:val="0"/>
      <w:divBdr>
        <w:top w:val="none" w:sz="0" w:space="0" w:color="auto"/>
        <w:left w:val="none" w:sz="0" w:space="0" w:color="auto"/>
        <w:bottom w:val="none" w:sz="0" w:space="0" w:color="auto"/>
        <w:right w:val="none" w:sz="0" w:space="0" w:color="auto"/>
      </w:divBdr>
    </w:div>
    <w:div w:id="1321812751">
      <w:bodyDiv w:val="1"/>
      <w:marLeft w:val="0"/>
      <w:marRight w:val="0"/>
      <w:marTop w:val="0"/>
      <w:marBottom w:val="0"/>
      <w:divBdr>
        <w:top w:val="none" w:sz="0" w:space="0" w:color="auto"/>
        <w:left w:val="none" w:sz="0" w:space="0" w:color="auto"/>
        <w:bottom w:val="none" w:sz="0" w:space="0" w:color="auto"/>
        <w:right w:val="none" w:sz="0" w:space="0" w:color="auto"/>
      </w:divBdr>
    </w:div>
    <w:div w:id="1335960923">
      <w:bodyDiv w:val="1"/>
      <w:marLeft w:val="0"/>
      <w:marRight w:val="0"/>
      <w:marTop w:val="0"/>
      <w:marBottom w:val="0"/>
      <w:divBdr>
        <w:top w:val="none" w:sz="0" w:space="0" w:color="auto"/>
        <w:left w:val="none" w:sz="0" w:space="0" w:color="auto"/>
        <w:bottom w:val="none" w:sz="0" w:space="0" w:color="auto"/>
        <w:right w:val="none" w:sz="0" w:space="0" w:color="auto"/>
      </w:divBdr>
      <w:divsChild>
        <w:div w:id="663044874">
          <w:marLeft w:val="0"/>
          <w:marRight w:val="0"/>
          <w:marTop w:val="0"/>
          <w:marBottom w:val="0"/>
          <w:divBdr>
            <w:top w:val="none" w:sz="0" w:space="0" w:color="auto"/>
            <w:left w:val="none" w:sz="0" w:space="0" w:color="auto"/>
            <w:bottom w:val="none" w:sz="0" w:space="0" w:color="auto"/>
            <w:right w:val="none" w:sz="0" w:space="0" w:color="auto"/>
          </w:divBdr>
          <w:divsChild>
            <w:div w:id="824661903">
              <w:marLeft w:val="0"/>
              <w:marRight w:val="0"/>
              <w:marTop w:val="0"/>
              <w:marBottom w:val="0"/>
              <w:divBdr>
                <w:top w:val="none" w:sz="0" w:space="0" w:color="auto"/>
                <w:left w:val="none" w:sz="0" w:space="0" w:color="auto"/>
                <w:bottom w:val="none" w:sz="0" w:space="0" w:color="auto"/>
                <w:right w:val="none" w:sz="0" w:space="0" w:color="auto"/>
              </w:divBdr>
            </w:div>
          </w:divsChild>
        </w:div>
        <w:div w:id="2039744368">
          <w:marLeft w:val="0"/>
          <w:marRight w:val="0"/>
          <w:marTop w:val="0"/>
          <w:marBottom w:val="0"/>
          <w:divBdr>
            <w:top w:val="none" w:sz="0" w:space="0" w:color="auto"/>
            <w:left w:val="none" w:sz="0" w:space="0" w:color="auto"/>
            <w:bottom w:val="none" w:sz="0" w:space="0" w:color="auto"/>
            <w:right w:val="none" w:sz="0" w:space="0" w:color="auto"/>
          </w:divBdr>
        </w:div>
      </w:divsChild>
    </w:div>
    <w:div w:id="140490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deed.fr"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deed.f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9DEE2-239E-45F9-B49A-178C64D0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1436</Words>
  <Characters>7900</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Objectifs d'apprentissage</vt:lpstr>
      <vt:lpstr>Objectifs d'apprentissage</vt:lpstr>
    </vt:vector>
  </TitlesOfParts>
  <Company>Microsoft</Company>
  <LinksUpToDate>false</LinksUpToDate>
  <CharactersWithSpaces>9318</CharactersWithSpaces>
  <SharedDoc>false</SharedDoc>
  <HLinks>
    <vt:vector size="108" baseType="variant">
      <vt:variant>
        <vt:i4>7340070</vt:i4>
      </vt:variant>
      <vt:variant>
        <vt:i4>93</vt:i4>
      </vt:variant>
      <vt:variant>
        <vt:i4>0</vt:i4>
      </vt:variant>
      <vt:variant>
        <vt:i4>5</vt:i4>
      </vt:variant>
      <vt:variant>
        <vt:lpwstr>http://ec.europa.eu/dgs/education_culture/publ/pdf/ll-learning/keycomp_fr.pdf</vt:lpwstr>
      </vt:variant>
      <vt:variant>
        <vt:lpwstr/>
      </vt:variant>
      <vt:variant>
        <vt:i4>3473486</vt:i4>
      </vt:variant>
      <vt:variant>
        <vt:i4>90</vt:i4>
      </vt:variant>
      <vt:variant>
        <vt:i4>0</vt:i4>
      </vt:variant>
      <vt:variant>
        <vt:i4>5</vt:i4>
      </vt:variant>
      <vt:variant>
        <vt:lpwstr>http://ec.europa.eu/education/lifelong-learning-policy/doc44_en.htm</vt:lpwstr>
      </vt:variant>
      <vt:variant>
        <vt:lpwstr/>
      </vt:variant>
      <vt:variant>
        <vt:i4>3539026</vt:i4>
      </vt:variant>
      <vt:variant>
        <vt:i4>87</vt:i4>
      </vt:variant>
      <vt:variant>
        <vt:i4>0</vt:i4>
      </vt:variant>
      <vt:variant>
        <vt:i4>5</vt:i4>
      </vt:variant>
      <vt:variant>
        <vt:lpwstr>http://ec.europa.eu/education/lifelong-learning-policy/doc44_fr.htm</vt:lpwstr>
      </vt:variant>
      <vt:variant>
        <vt:lpwstr/>
      </vt:variant>
      <vt:variant>
        <vt:i4>5832707</vt:i4>
      </vt:variant>
      <vt:variant>
        <vt:i4>84</vt:i4>
      </vt:variant>
      <vt:variant>
        <vt:i4>0</vt:i4>
      </vt:variant>
      <vt:variant>
        <vt:i4>5</vt:i4>
      </vt:variant>
      <vt:variant>
        <vt:lpwstr>http://www.bief.be/docs/publications/savoir_oui_mais_encore_070207.pdf</vt:lpwstr>
      </vt:variant>
      <vt:variant>
        <vt:lpwstr/>
      </vt:variant>
      <vt:variant>
        <vt:i4>5177364</vt:i4>
      </vt:variant>
      <vt:variant>
        <vt:i4>81</vt:i4>
      </vt:variant>
      <vt:variant>
        <vt:i4>0</vt:i4>
      </vt:variant>
      <vt:variant>
        <vt:i4>5</vt:i4>
      </vt:variant>
      <vt:variant>
        <vt:lpwstr>http://www.businessballs.com/bloomstaxonomyoflearningdomains.htm</vt:lpwstr>
      </vt:variant>
      <vt:variant>
        <vt:lpwstr/>
      </vt:variant>
      <vt:variant>
        <vt:i4>3538995</vt:i4>
      </vt:variant>
      <vt:variant>
        <vt:i4>78</vt:i4>
      </vt:variant>
      <vt:variant>
        <vt:i4>0</vt:i4>
      </vt:variant>
      <vt:variant>
        <vt:i4>5</vt:i4>
      </vt:variant>
      <vt:variant>
        <vt:lpwstr>http://www.tla.ed.ac.uk/etl/docs/ETLreport4.pdf</vt:lpwstr>
      </vt:variant>
      <vt:variant>
        <vt:lpwstr/>
      </vt:variant>
      <vt:variant>
        <vt:i4>2228276</vt:i4>
      </vt:variant>
      <vt:variant>
        <vt:i4>75</vt:i4>
      </vt:variant>
      <vt:variant>
        <vt:i4>0</vt:i4>
      </vt:variant>
      <vt:variant>
        <vt:i4>5</vt:i4>
      </vt:variant>
      <vt:variant>
        <vt:lpwstr>http://www.gees.ac.uk/planet/p17/gc.pdf</vt:lpwstr>
      </vt:variant>
      <vt:variant>
        <vt:lpwstr/>
      </vt:variant>
      <vt:variant>
        <vt:i4>4325400</vt:i4>
      </vt:variant>
      <vt:variant>
        <vt:i4>72</vt:i4>
      </vt:variant>
      <vt:variant>
        <vt:i4>0</vt:i4>
      </vt:variant>
      <vt:variant>
        <vt:i4>5</vt:i4>
      </vt:variant>
      <vt:variant>
        <vt:lpwstr>http://www.tea.state.tx.us/ssc/downloads/toolkits/Shared%20Sections/</vt:lpwstr>
      </vt:variant>
      <vt:variant>
        <vt:lpwstr/>
      </vt:variant>
      <vt:variant>
        <vt:i4>5898252</vt:i4>
      </vt:variant>
      <vt:variant>
        <vt:i4>69</vt:i4>
      </vt:variant>
      <vt:variant>
        <vt:i4>0</vt:i4>
      </vt:variant>
      <vt:variant>
        <vt:i4>5</vt:i4>
      </vt:variant>
      <vt:variant>
        <vt:lpwstr>http://www.educnet.education.fr/bd/competice/superieur/competice/boite/pdf/t1.pdf</vt:lpwstr>
      </vt:variant>
      <vt:variant>
        <vt:lpwstr/>
      </vt:variant>
      <vt:variant>
        <vt:i4>3801146</vt:i4>
      </vt:variant>
      <vt:variant>
        <vt:i4>66</vt:i4>
      </vt:variant>
      <vt:variant>
        <vt:i4>0</vt:i4>
      </vt:variant>
      <vt:variant>
        <vt:i4>5</vt:i4>
      </vt:variant>
      <vt:variant>
        <vt:lpwstr>http://www.educationoasis.com/instruction/PDF_Word%20files/list_verbs_learning_objectives.pdf</vt:lpwstr>
      </vt:variant>
      <vt:variant>
        <vt:lpwstr/>
      </vt:variant>
      <vt:variant>
        <vt:i4>1376312</vt:i4>
      </vt:variant>
      <vt:variant>
        <vt:i4>44</vt:i4>
      </vt:variant>
      <vt:variant>
        <vt:i4>0</vt:i4>
      </vt:variant>
      <vt:variant>
        <vt:i4>5</vt:i4>
      </vt:variant>
      <vt:variant>
        <vt:lpwstr/>
      </vt:variant>
      <vt:variant>
        <vt:lpwstr>_Toc308952699</vt:lpwstr>
      </vt:variant>
      <vt:variant>
        <vt:i4>1376312</vt:i4>
      </vt:variant>
      <vt:variant>
        <vt:i4>38</vt:i4>
      </vt:variant>
      <vt:variant>
        <vt:i4>0</vt:i4>
      </vt:variant>
      <vt:variant>
        <vt:i4>5</vt:i4>
      </vt:variant>
      <vt:variant>
        <vt:lpwstr/>
      </vt:variant>
      <vt:variant>
        <vt:lpwstr>_Toc308952698</vt:lpwstr>
      </vt:variant>
      <vt:variant>
        <vt:i4>1376312</vt:i4>
      </vt:variant>
      <vt:variant>
        <vt:i4>32</vt:i4>
      </vt:variant>
      <vt:variant>
        <vt:i4>0</vt:i4>
      </vt:variant>
      <vt:variant>
        <vt:i4>5</vt:i4>
      </vt:variant>
      <vt:variant>
        <vt:lpwstr/>
      </vt:variant>
      <vt:variant>
        <vt:lpwstr>_Toc308952697</vt:lpwstr>
      </vt:variant>
      <vt:variant>
        <vt:i4>1376312</vt:i4>
      </vt:variant>
      <vt:variant>
        <vt:i4>26</vt:i4>
      </vt:variant>
      <vt:variant>
        <vt:i4>0</vt:i4>
      </vt:variant>
      <vt:variant>
        <vt:i4>5</vt:i4>
      </vt:variant>
      <vt:variant>
        <vt:lpwstr/>
      </vt:variant>
      <vt:variant>
        <vt:lpwstr>_Toc308952696</vt:lpwstr>
      </vt:variant>
      <vt:variant>
        <vt:i4>1376312</vt:i4>
      </vt:variant>
      <vt:variant>
        <vt:i4>20</vt:i4>
      </vt:variant>
      <vt:variant>
        <vt:i4>0</vt:i4>
      </vt:variant>
      <vt:variant>
        <vt:i4>5</vt:i4>
      </vt:variant>
      <vt:variant>
        <vt:lpwstr/>
      </vt:variant>
      <vt:variant>
        <vt:lpwstr>_Toc308952695</vt:lpwstr>
      </vt:variant>
      <vt:variant>
        <vt:i4>1376312</vt:i4>
      </vt:variant>
      <vt:variant>
        <vt:i4>14</vt:i4>
      </vt:variant>
      <vt:variant>
        <vt:i4>0</vt:i4>
      </vt:variant>
      <vt:variant>
        <vt:i4>5</vt:i4>
      </vt:variant>
      <vt:variant>
        <vt:lpwstr/>
      </vt:variant>
      <vt:variant>
        <vt:lpwstr>_Toc308952694</vt:lpwstr>
      </vt:variant>
      <vt:variant>
        <vt:i4>1376312</vt:i4>
      </vt:variant>
      <vt:variant>
        <vt:i4>8</vt:i4>
      </vt:variant>
      <vt:variant>
        <vt:i4>0</vt:i4>
      </vt:variant>
      <vt:variant>
        <vt:i4>5</vt:i4>
      </vt:variant>
      <vt:variant>
        <vt:lpwstr/>
      </vt:variant>
      <vt:variant>
        <vt:lpwstr>_Toc308952693</vt:lpwstr>
      </vt:variant>
      <vt:variant>
        <vt:i4>1376312</vt:i4>
      </vt:variant>
      <vt:variant>
        <vt:i4>2</vt:i4>
      </vt:variant>
      <vt:variant>
        <vt:i4>0</vt:i4>
      </vt:variant>
      <vt:variant>
        <vt:i4>5</vt:i4>
      </vt:variant>
      <vt:variant>
        <vt:lpwstr/>
      </vt:variant>
      <vt:variant>
        <vt:lpwstr>_Toc308952692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Objectifs d'apprentissage</dc:title>
  <dc:creator>Elie Milgrom</dc:creator>
  <cp:lastModifiedBy>Christine Jacqmot</cp:lastModifiedBy>
  <cp:revision>2</cp:revision>
  <cp:lastPrinted>2014-07-15T15:45:00Z</cp:lastPrinted>
  <dcterms:created xsi:type="dcterms:W3CDTF">2019-05-19T07:07:00Z</dcterms:created>
  <dcterms:modified xsi:type="dcterms:W3CDTF">2019-05-19T07:07:00Z</dcterms:modified>
</cp:coreProperties>
</file>