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 xml:space="preserve">Rocketry</w:t>
        <w:tab/>
        <w:t xml:space="preserve">         </w:t>
        <w:tab/>
        <w:tab/>
        <w:tab/>
        <w:t xml:space="preserve">                              </w:t>
        <w:tab/>
        <w:t xml:space="preserve">Course:    </w:t>
        <w:tab/>
        <w:t xml:space="preserve">STEM9</w:t>
        <w:tab/>
        <w:tab/>
        <w:tab/>
        <w:tab/>
        <w:tab/>
        <w:tab/>
        <w:t xml:space="preserve">Grade: 9th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are rockets designed and constructed?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Systems of Inequalities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Custom Manufacturing vs. Mass Production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Rocket Construction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2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 Design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2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Engine Assembly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2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Parachute Design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Trigonometry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Scroll Saw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6vny6ubppr7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3.2.10.B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process knowledge and organize 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3.2.10.D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Identify and Apply the technological design process to solve problems.scientific and technological phenomena in varied ways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3.6.10.C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Physical technologies of structural design, analysis and engineering, personnel relations, financial affairs, structural production, research and design to real world problems.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3.7.10.A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Identify and safely use a variety of tools, basic machines, materials, and techniques to solve problems and answer questions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Days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Manufacturing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Systems of Inequalities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Cosine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Sine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Tangent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Nose Cone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Apogee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Learners will know how rockets function.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Learners will know how to calculate the height of an object using basic trigonometry.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Learners will understand how to use inequalities to solve design problems.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Learners will understand how rockets function and how math can be used to determine the highest point of the flight path.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Learners will create a systems of inequalities to determine the most effective ratio of custom and mass produced rockets in a given time.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Learners will design, build, and launch a rocket to calculate the highest point reached when launched.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Project is Aligned to the Algebra Keystone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