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Concrete Testing</w:t>
        <w:tab/>
        <w:t xml:space="preserve">         </w:t>
        <w:tab/>
        <w:tab/>
        <w:tab/>
        <w:t xml:space="preserve">     Course:   STEM 9 Conceptual Physics </w:t>
        <w:tab/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is materials testing important to our society’s infrastructure and how do companies go about doing it?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fw8eqbo2q1p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10ghx84toco5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Apply concepts of systems, subsystems, feedback and control to solve complex technological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concepts of models as a method to predict and understand science and technology.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Assess and apply patterns in science and technology.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42424"/>
                <w:sz w:val="21"/>
                <w:szCs w:val="21"/>
                <w:rtl w:val="0"/>
              </w:rPr>
              <w:t xml:space="preserve">3.4.10.C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42424"/>
                <w:sz w:val="21"/>
                <w:szCs w:val="21"/>
                <w:rtl w:val="0"/>
              </w:rPr>
              <w:t xml:space="preserve"> Distinguish among the principles of force and 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force, pressure, area, p.s.i., Pascal, data analysis, cure rate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Area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Pressure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Units for Force, Pressure, and Area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communicate with others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make a graph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operate a materials tester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Force, Pressure, and Area relate to each other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the cure rate of concrete changes over time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methods of gathering data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How to analyze large collections of data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design an experiment to discover the cure rate of concrete.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communicate their experimental setup and results through a lab report.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Learners will be able to analyze a collection of data, create graphs with that data, and come to a conclusion regarding cure rate of concrete.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Lab Report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Lab Result Analysis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Schoology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EdPuzzle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Materials Tester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