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Author -</w:t>
      </w:r>
      <w:r w:rsidDel="00000000" w:rsidR="00000000" w:rsidRPr="00000000">
        <w:rPr>
          <w:rtl w:val="0"/>
        </w:rPr>
        <w:t xml:space="preserve"> Sara Milillo, Director of Math and Science, Bay Path University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General description -</w:t>
      </w:r>
      <w:r w:rsidDel="00000000" w:rsidR="00000000" w:rsidRPr="00000000">
        <w:rPr>
          <w:rtl w:val="0"/>
        </w:rPr>
        <w:t xml:space="preserve"> Students can use the following vocabulary word “cards” to make and justify connections between important terms related to OpenStax Biology - Chapter 5 - Structure and Function of Plasma Membranes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OpenStax book used -</w:t>
      </w:r>
      <w:r w:rsidDel="00000000" w:rsidR="00000000" w:rsidRPr="00000000">
        <w:rPr>
          <w:rtl w:val="0"/>
        </w:rPr>
        <w:t xml:space="preserve"> Biology</w:t>
      </w:r>
    </w:p>
    <w:p w:rsidR="00000000" w:rsidDel="00000000" w:rsidP="00000000" w:rsidRDefault="00000000" w:rsidRPr="00000000" w14:paraId="00000005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"https://cnx.org/contents/GFy_h8cu@10.137:rZudN6XP@2/Introduction"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https://cnx.org/contents/GFy_h8cu@10.137:rZudN6XP@2/Introduction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Active learning technique used -</w:t>
      </w:r>
      <w:r w:rsidDel="00000000" w:rsidR="00000000" w:rsidRPr="00000000">
        <w:rPr>
          <w:rtl w:val="0"/>
        </w:rPr>
        <w:t xml:space="preserve"> “Concept connection”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Compatible technology tools -</w:t>
      </w:r>
      <w:r w:rsidDel="00000000" w:rsidR="00000000" w:rsidRPr="00000000">
        <w:rPr>
          <w:rtl w:val="0"/>
        </w:rPr>
        <w:t xml:space="preserve"> any kind of photo sharing or webcam recorder mechanism, such as Mural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https://mural.co/</w:t>
        </w:r>
      </w:hyperlink>
      <w:r w:rsidDel="00000000" w:rsidR="00000000" w:rsidRPr="00000000">
        <w:rPr>
          <w:rtl w:val="0"/>
        </w:rPr>
        <w:t xml:space="preserve">) or padlet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https://padlet.com/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instructions to the student -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1. Select 5 (</w:t>
      </w:r>
      <w:r w:rsidDel="00000000" w:rsidR="00000000" w:rsidRPr="00000000">
        <w:rPr>
          <w:highlight w:val="yellow"/>
          <w:rtl w:val="0"/>
        </w:rPr>
        <w:t xml:space="preserve">this number is just a suggestion</w:t>
      </w:r>
      <w:r w:rsidDel="00000000" w:rsidR="00000000" w:rsidRPr="00000000">
        <w:rPr>
          <w:rtl w:val="0"/>
        </w:rPr>
        <w:t xml:space="preserve">) of the following vocabulary terms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2. Create a card for each term by writing them onto individual index cards or pieces of paper, or use print out the grid on the last page and cut out the rectangles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3. Arrange the cards on a flat surface to show how you relate the terms to one another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4. Prepare a short written (or oral) justification for your arrangement that explains how the terms are related. Approximately ½ page single spaced written explanation or ~1 min recorded explanation.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*Note: there is no one right answer to this assignment!  Each student’s selection of terms and arrangement/justification will vary and that is ok.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5. Take a picture of your arrangement and make sure it is of sufficient resolution so that I can zoom in to view if necessary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6. Submit your picture and justification to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highlight w:val="yellow"/>
          <w:rtl w:val="0"/>
        </w:rPr>
        <w:t xml:space="preserve">collaborative platform of instructor’s choice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terms -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Membrane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Permeability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Phospholipid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Cholesterol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Glycoslylation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Hydrophobic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Hydrophillic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Amphiphillic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Lipid bilayer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Peripheral proteins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Integral proteins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Fluidity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Porin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Channel protein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Concentration gradient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Diffusion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Facilitated transport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Hypertonic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Hypotonic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Isotonic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Osmosis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Plasmolysis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Passive transport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Transport protein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Solute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Active transport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Antiporter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Gradient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Symporter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Uniporter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Pinocytosis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Endocytosis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Exocytosis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Receptor-mediated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 and Attributions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Kneafsey, J. “Active Learning Across the Disciplines” Presentation at OpenStax CreatorFest 2018, Houston TX.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OpenStax, Biology. OpenStax CNX. Mar 21, 2018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http://cnx.org/contents/185cbf87-c72e-48f5-b51e-f14f21b5eabd@10.137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color w:val="333333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Amphiphillic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Hydrophillic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Cholesterol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Phospholipid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Hydrophobic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Lipid bilayer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Peripheral proteins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Integral proteins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Porin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Channel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Concentration gradient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Diffusion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Hypotonic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Facilitated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Lipid bilayer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Fluidity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Hypertonic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Plasmolysis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Osmosis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Isotonic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Passive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Transport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Solute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Active transport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Antiporter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Gradient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Symporter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Uniporter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Endocytosis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Exocytosis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Pinocytosis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Receptor-mediated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Membrane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Permeability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ural.co/" TargetMode="External"/><Relationship Id="rId7" Type="http://schemas.openxmlformats.org/officeDocument/2006/relationships/hyperlink" Target="https://padlet.com/" TargetMode="External"/><Relationship Id="rId8" Type="http://schemas.openxmlformats.org/officeDocument/2006/relationships/hyperlink" Target="http://cnx.org/contents/185cbf87-c72e-48f5-b51e-f14f21b5eabd@10.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