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4F" w:rsidRPr="00931B61" w:rsidRDefault="00B9374F" w:rsidP="00B9374F">
      <w:pPr>
        <w:jc w:val="center"/>
        <w:rPr>
          <w:b/>
          <w:sz w:val="32"/>
          <w:szCs w:val="32"/>
        </w:rPr>
      </w:pPr>
      <w:bookmarkStart w:id="0" w:name="_GoBack"/>
      <w:bookmarkEnd w:id="0"/>
      <w:r w:rsidRPr="00931B61">
        <w:rPr>
          <w:b/>
          <w:sz w:val="32"/>
          <w:szCs w:val="32"/>
        </w:rPr>
        <w:t>CATCH Annotating</w:t>
      </w:r>
    </w:p>
    <w:p w:rsidR="00B9374F" w:rsidRDefault="00B9374F" w:rsidP="00B9374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2633"/>
        <w:gridCol w:w="2719"/>
        <w:gridCol w:w="4199"/>
      </w:tblGrid>
      <w:tr w:rsidR="00B9374F" w:rsidRPr="003F0226" w:rsidTr="00F451DF">
        <w:tc>
          <w:tcPr>
            <w:tcW w:w="5000" w:type="pct"/>
            <w:gridSpan w:val="4"/>
          </w:tcPr>
          <w:p w:rsidR="00B9374F" w:rsidRDefault="00B9374F" w:rsidP="00F451DF">
            <w:pPr>
              <w:pStyle w:val="NoSpacing"/>
              <w:rPr>
                <w:i/>
              </w:rPr>
            </w:pPr>
            <w:r>
              <w:rPr>
                <w:i/>
              </w:rPr>
              <w:t xml:space="preserve">CATCH is an acronym that represents the process of actively reading and engaging with a text. CATCH can be used to effectively annotate any kind of text (fiction, non-fiction, graphic, visual), which makes it a great tool for students to use throughout their classes, and it makes it a great tool for building an academic culture and literacy school-wide. </w:t>
            </w:r>
          </w:p>
          <w:p w:rsidR="00B9374F" w:rsidRDefault="00B9374F" w:rsidP="00F451DF">
            <w:pPr>
              <w:pStyle w:val="NoSpacing"/>
              <w:rPr>
                <w:i/>
              </w:rPr>
            </w:pPr>
          </w:p>
          <w:p w:rsidR="00B9374F" w:rsidRDefault="00B9374F" w:rsidP="00F451DF">
            <w:pPr>
              <w:pStyle w:val="NoSpacing"/>
              <w:rPr>
                <w:i/>
              </w:rPr>
            </w:pPr>
            <w:r>
              <w:rPr>
                <w:i/>
              </w:rPr>
              <w:t>While there is no “proper” order or method for annotation, capturing the main idea generally comes at the end, after you have read the text one or more times, cleared up any confusion or answered any questions you had, and engaged in a dialogue with the text.  Any other symbols--</w:t>
            </w:r>
            <w:r w:rsidRPr="00C86F33">
              <w:rPr>
                <w:i/>
              </w:rPr>
              <w:sym w:font="Wingdings" w:char="F04A"/>
            </w:r>
            <w:proofErr w:type="gramStart"/>
            <w:r>
              <w:rPr>
                <w:i/>
              </w:rPr>
              <w:t>, !!!</w:t>
            </w:r>
            <w:proofErr w:type="gramEnd"/>
            <w:r>
              <w:rPr>
                <w:i/>
              </w:rPr>
              <w:t>, ?, *, …--are left to the individual.</w:t>
            </w:r>
          </w:p>
          <w:p w:rsidR="00B9374F" w:rsidRDefault="00B9374F" w:rsidP="00F451DF">
            <w:pPr>
              <w:pStyle w:val="NoSpacing"/>
              <w:rPr>
                <w:i/>
              </w:rPr>
            </w:pPr>
          </w:p>
          <w:p w:rsidR="00B9374F" w:rsidRPr="003F0226" w:rsidRDefault="00B9374F" w:rsidP="00F451DF">
            <w:pPr>
              <w:pStyle w:val="NoSpacing"/>
              <w:rPr>
                <w:i/>
              </w:rPr>
            </w:pPr>
          </w:p>
        </w:tc>
      </w:tr>
      <w:tr w:rsidR="00B9374F" w:rsidRPr="00056965" w:rsidTr="00F451DF">
        <w:tc>
          <w:tcPr>
            <w:tcW w:w="426" w:type="pct"/>
          </w:tcPr>
          <w:p w:rsidR="00B9374F" w:rsidRPr="003F0226" w:rsidRDefault="00B9374F" w:rsidP="00F451DF">
            <w:pPr>
              <w:pStyle w:val="NoSpacing"/>
              <w:jc w:val="center"/>
              <w:rPr>
                <w:b/>
                <w:sz w:val="28"/>
                <w:szCs w:val="28"/>
              </w:rPr>
            </w:pPr>
            <w:r w:rsidRPr="003F0226">
              <w:rPr>
                <w:b/>
                <w:sz w:val="28"/>
                <w:szCs w:val="28"/>
              </w:rPr>
              <w:t>C</w:t>
            </w:r>
          </w:p>
        </w:tc>
        <w:tc>
          <w:tcPr>
            <w:tcW w:w="2563" w:type="pct"/>
            <w:gridSpan w:val="2"/>
          </w:tcPr>
          <w:p w:rsidR="00B9374F" w:rsidRPr="00931B61" w:rsidRDefault="00B9374F" w:rsidP="00F451DF">
            <w:pPr>
              <w:pStyle w:val="NoSpacing"/>
              <w:rPr>
                <w:b/>
              </w:rPr>
            </w:pPr>
            <w:r w:rsidRPr="00931B61">
              <w:rPr>
                <w:b/>
              </w:rPr>
              <w:t xml:space="preserve">Circle unfamiliar words </w:t>
            </w:r>
          </w:p>
          <w:p w:rsidR="00B9374F" w:rsidRDefault="00B9374F" w:rsidP="00F451DF">
            <w:pPr>
              <w:pStyle w:val="NoSpacing"/>
            </w:pPr>
            <w:r w:rsidRPr="003F0226">
              <w:t>(then define them)</w:t>
            </w:r>
          </w:p>
        </w:tc>
        <w:tc>
          <w:tcPr>
            <w:tcW w:w="2011" w:type="pct"/>
          </w:tcPr>
          <w:p w:rsidR="00B9374F" w:rsidRDefault="00B9374F" w:rsidP="00F451DF">
            <w:pPr>
              <w:pStyle w:val="NoSpacing"/>
              <w:rPr>
                <w:sz w:val="20"/>
                <w:szCs w:val="20"/>
              </w:rPr>
            </w:pPr>
            <w:r w:rsidRPr="00056965">
              <w:rPr>
                <w:sz w:val="20"/>
                <w:szCs w:val="20"/>
              </w:rPr>
              <w:t>Is knowledge of a particular word’s meaning essential to understanding the text?</w:t>
            </w:r>
          </w:p>
          <w:p w:rsidR="00B9374F" w:rsidRPr="00056965" w:rsidRDefault="00B9374F" w:rsidP="00F451DF">
            <w:pPr>
              <w:pStyle w:val="NoSpacing"/>
              <w:rPr>
                <w:sz w:val="20"/>
                <w:szCs w:val="20"/>
              </w:rPr>
            </w:pPr>
          </w:p>
        </w:tc>
      </w:tr>
      <w:tr w:rsidR="00B9374F" w:rsidRPr="00056965" w:rsidTr="00F451DF">
        <w:tc>
          <w:tcPr>
            <w:tcW w:w="426" w:type="pct"/>
          </w:tcPr>
          <w:p w:rsidR="00B9374F" w:rsidRPr="003F0226" w:rsidRDefault="00B9374F" w:rsidP="00F451DF">
            <w:pPr>
              <w:pStyle w:val="NoSpacing"/>
              <w:jc w:val="center"/>
              <w:rPr>
                <w:b/>
                <w:sz w:val="28"/>
                <w:szCs w:val="28"/>
              </w:rPr>
            </w:pPr>
            <w:r w:rsidRPr="003F0226">
              <w:rPr>
                <w:b/>
                <w:sz w:val="28"/>
                <w:szCs w:val="28"/>
              </w:rPr>
              <w:t>A</w:t>
            </w:r>
          </w:p>
        </w:tc>
        <w:tc>
          <w:tcPr>
            <w:tcW w:w="2563" w:type="pct"/>
            <w:gridSpan w:val="2"/>
          </w:tcPr>
          <w:p w:rsidR="00B9374F" w:rsidRPr="00931B61" w:rsidRDefault="00B9374F" w:rsidP="00F451DF">
            <w:pPr>
              <w:pStyle w:val="NoSpacing"/>
              <w:rPr>
                <w:b/>
              </w:rPr>
            </w:pPr>
            <w:r w:rsidRPr="00931B61">
              <w:rPr>
                <w:b/>
              </w:rPr>
              <w:t xml:space="preserve">Acknowledge confusion </w:t>
            </w:r>
          </w:p>
          <w:p w:rsidR="00B9374F" w:rsidRDefault="00B9374F" w:rsidP="00F451DF">
            <w:pPr>
              <w:pStyle w:val="NoSpacing"/>
            </w:pPr>
            <w:r w:rsidRPr="003F0226">
              <w:t>(and wrestle with it)</w:t>
            </w:r>
          </w:p>
        </w:tc>
        <w:tc>
          <w:tcPr>
            <w:tcW w:w="2011" w:type="pct"/>
          </w:tcPr>
          <w:p w:rsidR="00B9374F" w:rsidRPr="00056965" w:rsidRDefault="00B9374F" w:rsidP="00F451DF">
            <w:pPr>
              <w:pStyle w:val="NoSpacing"/>
              <w:rPr>
                <w:sz w:val="20"/>
                <w:szCs w:val="20"/>
              </w:rPr>
            </w:pPr>
            <w:r w:rsidRPr="00056965">
              <w:rPr>
                <w:sz w:val="20"/>
                <w:szCs w:val="20"/>
              </w:rPr>
              <w:t>At what parts of the text am I getting confused?</w:t>
            </w:r>
          </w:p>
          <w:p w:rsidR="00B9374F" w:rsidRPr="00056965" w:rsidRDefault="00B9374F" w:rsidP="00F451DF">
            <w:pPr>
              <w:pStyle w:val="NoSpacing"/>
              <w:rPr>
                <w:sz w:val="20"/>
                <w:szCs w:val="20"/>
              </w:rPr>
            </w:pPr>
            <w:r w:rsidRPr="00056965">
              <w:rPr>
                <w:sz w:val="20"/>
                <w:szCs w:val="20"/>
              </w:rPr>
              <w:t>Why am I confused?</w:t>
            </w:r>
          </w:p>
          <w:p w:rsidR="00B9374F" w:rsidRDefault="00B9374F" w:rsidP="00F451DF">
            <w:pPr>
              <w:pStyle w:val="NoSpacing"/>
              <w:rPr>
                <w:sz w:val="20"/>
                <w:szCs w:val="20"/>
              </w:rPr>
            </w:pPr>
            <w:r w:rsidRPr="00056965">
              <w:rPr>
                <w:sz w:val="20"/>
                <w:szCs w:val="20"/>
              </w:rPr>
              <w:t>What do I think this part of the text means?</w:t>
            </w:r>
          </w:p>
          <w:p w:rsidR="00B9374F" w:rsidRPr="00056965" w:rsidRDefault="00B9374F" w:rsidP="00F451DF">
            <w:pPr>
              <w:pStyle w:val="NoSpacing"/>
              <w:rPr>
                <w:sz w:val="20"/>
                <w:szCs w:val="20"/>
              </w:rPr>
            </w:pPr>
          </w:p>
        </w:tc>
      </w:tr>
      <w:tr w:rsidR="00B9374F" w:rsidRPr="00056965" w:rsidTr="00F451DF">
        <w:tc>
          <w:tcPr>
            <w:tcW w:w="426" w:type="pct"/>
          </w:tcPr>
          <w:p w:rsidR="00B9374F" w:rsidRPr="003F0226" w:rsidRDefault="00B9374F" w:rsidP="00F451DF">
            <w:pPr>
              <w:pStyle w:val="NoSpacing"/>
              <w:jc w:val="center"/>
              <w:rPr>
                <w:b/>
                <w:sz w:val="28"/>
                <w:szCs w:val="28"/>
              </w:rPr>
            </w:pPr>
            <w:r w:rsidRPr="003F0226">
              <w:rPr>
                <w:b/>
                <w:sz w:val="28"/>
                <w:szCs w:val="28"/>
              </w:rPr>
              <w:t>T</w:t>
            </w:r>
          </w:p>
        </w:tc>
        <w:tc>
          <w:tcPr>
            <w:tcW w:w="1261" w:type="pct"/>
          </w:tcPr>
          <w:p w:rsidR="00B9374F" w:rsidRPr="00931B61" w:rsidRDefault="00B9374F" w:rsidP="00F451DF">
            <w:pPr>
              <w:pStyle w:val="NoSpacing"/>
              <w:rPr>
                <w:b/>
              </w:rPr>
            </w:pPr>
            <w:r w:rsidRPr="00931B61">
              <w:rPr>
                <w:b/>
              </w:rPr>
              <w:t>Talk with the text</w:t>
            </w:r>
          </w:p>
          <w:p w:rsidR="00B9374F" w:rsidRDefault="00B9374F" w:rsidP="00F451DF">
            <w:pPr>
              <w:pStyle w:val="NoSpacing"/>
              <w:numPr>
                <w:ilvl w:val="0"/>
                <w:numId w:val="1"/>
              </w:numPr>
            </w:pPr>
            <w:r>
              <w:t>c</w:t>
            </w:r>
            <w:r w:rsidRPr="003F0226">
              <w:t>omments</w:t>
            </w:r>
          </w:p>
          <w:p w:rsidR="00B9374F" w:rsidRPr="003F0226" w:rsidRDefault="00B9374F" w:rsidP="00F451DF">
            <w:pPr>
              <w:pStyle w:val="NoSpacing"/>
              <w:numPr>
                <w:ilvl w:val="0"/>
                <w:numId w:val="1"/>
              </w:numPr>
            </w:pPr>
            <w:r>
              <w:t>questions</w:t>
            </w:r>
          </w:p>
          <w:p w:rsidR="00B9374F" w:rsidRDefault="00B9374F" w:rsidP="00F451DF">
            <w:pPr>
              <w:pStyle w:val="NoSpacing"/>
              <w:numPr>
                <w:ilvl w:val="0"/>
                <w:numId w:val="1"/>
              </w:numPr>
            </w:pPr>
            <w:r w:rsidRPr="003F0226">
              <w:t>predictions</w:t>
            </w:r>
          </w:p>
          <w:p w:rsidR="00B9374F" w:rsidRPr="003F0226" w:rsidRDefault="00B9374F" w:rsidP="00F451DF">
            <w:pPr>
              <w:pStyle w:val="NoSpacing"/>
              <w:numPr>
                <w:ilvl w:val="0"/>
                <w:numId w:val="1"/>
              </w:numPr>
            </w:pPr>
            <w:r>
              <w:t>observations</w:t>
            </w:r>
          </w:p>
        </w:tc>
        <w:tc>
          <w:tcPr>
            <w:tcW w:w="1302" w:type="pct"/>
          </w:tcPr>
          <w:p w:rsidR="00B9374F" w:rsidRDefault="00B9374F" w:rsidP="00F451DF">
            <w:pPr>
              <w:pStyle w:val="NoSpacing"/>
              <w:ind w:left="360"/>
            </w:pPr>
          </w:p>
          <w:p w:rsidR="00B9374F" w:rsidRPr="003F0226" w:rsidRDefault="00B9374F" w:rsidP="00F451DF">
            <w:pPr>
              <w:pStyle w:val="NoSpacing"/>
              <w:numPr>
                <w:ilvl w:val="0"/>
                <w:numId w:val="1"/>
              </w:numPr>
            </w:pPr>
            <w:r w:rsidRPr="003F0226">
              <w:t>connections</w:t>
            </w:r>
          </w:p>
          <w:p w:rsidR="00B9374F" w:rsidRPr="003F0226" w:rsidRDefault="00B9374F" w:rsidP="00F451DF">
            <w:pPr>
              <w:pStyle w:val="NoSpacing"/>
              <w:numPr>
                <w:ilvl w:val="0"/>
                <w:numId w:val="1"/>
              </w:numPr>
            </w:pPr>
            <w:r w:rsidRPr="003F0226">
              <w:t>reactions</w:t>
            </w:r>
          </w:p>
          <w:p w:rsidR="00B9374F" w:rsidRDefault="00B9374F" w:rsidP="00F451DF">
            <w:pPr>
              <w:pStyle w:val="NoSpacing"/>
              <w:numPr>
                <w:ilvl w:val="0"/>
                <w:numId w:val="1"/>
              </w:numPr>
            </w:pPr>
            <w:r>
              <w:t>identify author’s evidence</w:t>
            </w:r>
          </w:p>
          <w:p w:rsidR="00B9374F" w:rsidRDefault="00B9374F" w:rsidP="00F451DF">
            <w:pPr>
              <w:pStyle w:val="NoSpacing"/>
              <w:numPr>
                <w:ilvl w:val="0"/>
                <w:numId w:val="1"/>
              </w:numPr>
            </w:pPr>
            <w:r w:rsidRPr="003F0226">
              <w:t>rhetorical devices</w:t>
            </w:r>
          </w:p>
          <w:p w:rsidR="00B9374F" w:rsidRDefault="00B9374F" w:rsidP="00F451DF">
            <w:pPr>
              <w:pStyle w:val="NoSpacing"/>
              <w:ind w:left="360"/>
            </w:pPr>
          </w:p>
        </w:tc>
        <w:tc>
          <w:tcPr>
            <w:tcW w:w="2011" w:type="pct"/>
          </w:tcPr>
          <w:p w:rsidR="00B9374F" w:rsidRPr="00056965" w:rsidRDefault="00B9374F" w:rsidP="00F451DF">
            <w:pPr>
              <w:pStyle w:val="NoSpacing"/>
              <w:rPr>
                <w:sz w:val="20"/>
                <w:szCs w:val="20"/>
              </w:rPr>
            </w:pPr>
            <w:r w:rsidRPr="00056965">
              <w:rPr>
                <w:sz w:val="20"/>
                <w:szCs w:val="20"/>
              </w:rPr>
              <w:t xml:space="preserve">Talking with text should go hand-in-hand with highlighting. If a detail is important enough to highlight, I need to express my thinking about it. </w:t>
            </w:r>
          </w:p>
        </w:tc>
      </w:tr>
      <w:tr w:rsidR="00B9374F" w:rsidTr="00F451DF">
        <w:tc>
          <w:tcPr>
            <w:tcW w:w="426" w:type="pct"/>
          </w:tcPr>
          <w:p w:rsidR="00B9374F" w:rsidRPr="003F0226" w:rsidRDefault="00B9374F" w:rsidP="00F451DF">
            <w:pPr>
              <w:pStyle w:val="NoSpacing"/>
              <w:jc w:val="center"/>
              <w:rPr>
                <w:b/>
                <w:sz w:val="28"/>
                <w:szCs w:val="28"/>
              </w:rPr>
            </w:pPr>
            <w:r w:rsidRPr="003F0226">
              <w:rPr>
                <w:b/>
                <w:sz w:val="28"/>
                <w:szCs w:val="28"/>
              </w:rPr>
              <w:t>C</w:t>
            </w:r>
          </w:p>
        </w:tc>
        <w:tc>
          <w:tcPr>
            <w:tcW w:w="2563" w:type="pct"/>
            <w:gridSpan w:val="2"/>
          </w:tcPr>
          <w:p w:rsidR="00B9374F" w:rsidRPr="00931B61" w:rsidRDefault="00B9374F" w:rsidP="00F451DF">
            <w:pPr>
              <w:pStyle w:val="NoSpacing"/>
              <w:rPr>
                <w:b/>
              </w:rPr>
            </w:pPr>
            <w:r w:rsidRPr="00931B61">
              <w:rPr>
                <w:b/>
              </w:rPr>
              <w:t>Capture the main idea</w:t>
            </w:r>
          </w:p>
          <w:p w:rsidR="00B9374F" w:rsidRDefault="00B9374F" w:rsidP="00F451DF">
            <w:pPr>
              <w:pStyle w:val="NoSpacing"/>
            </w:pPr>
            <w:r w:rsidRPr="003F0226">
              <w:t xml:space="preserve"> (main assertion)</w:t>
            </w:r>
          </w:p>
        </w:tc>
        <w:tc>
          <w:tcPr>
            <w:tcW w:w="2011" w:type="pct"/>
          </w:tcPr>
          <w:p w:rsidR="00B9374F" w:rsidRPr="00056965" w:rsidRDefault="00B9374F" w:rsidP="00F451DF">
            <w:pPr>
              <w:pStyle w:val="NoSpacing"/>
              <w:rPr>
                <w:sz w:val="20"/>
                <w:szCs w:val="20"/>
              </w:rPr>
            </w:pPr>
            <w:r w:rsidRPr="00056965">
              <w:rPr>
                <w:sz w:val="20"/>
                <w:szCs w:val="20"/>
              </w:rPr>
              <w:t>Is the main idea explicitly stated? If so, where?</w:t>
            </w:r>
          </w:p>
          <w:p w:rsidR="00B9374F" w:rsidRDefault="00B9374F" w:rsidP="00F451DF">
            <w:pPr>
              <w:pStyle w:val="NoSpacing"/>
              <w:rPr>
                <w:sz w:val="20"/>
                <w:szCs w:val="20"/>
              </w:rPr>
            </w:pPr>
            <w:r w:rsidRPr="00056965">
              <w:rPr>
                <w:sz w:val="20"/>
                <w:szCs w:val="20"/>
              </w:rPr>
              <w:t xml:space="preserve"> Is it implied? If so, how could I explain it in my own words?</w:t>
            </w:r>
          </w:p>
          <w:p w:rsidR="00B9374F" w:rsidRDefault="00B9374F" w:rsidP="00F451DF">
            <w:pPr>
              <w:pStyle w:val="NoSpacing"/>
            </w:pPr>
          </w:p>
        </w:tc>
      </w:tr>
      <w:tr w:rsidR="00B9374F" w:rsidTr="00F451DF">
        <w:tc>
          <w:tcPr>
            <w:tcW w:w="426" w:type="pct"/>
          </w:tcPr>
          <w:p w:rsidR="00B9374F" w:rsidRPr="003F0226" w:rsidRDefault="00B9374F" w:rsidP="00F451DF">
            <w:pPr>
              <w:pStyle w:val="NoSpacing"/>
              <w:jc w:val="center"/>
              <w:rPr>
                <w:b/>
                <w:sz w:val="28"/>
                <w:szCs w:val="28"/>
              </w:rPr>
            </w:pPr>
            <w:r w:rsidRPr="003F0226">
              <w:rPr>
                <w:b/>
                <w:sz w:val="28"/>
                <w:szCs w:val="28"/>
              </w:rPr>
              <w:t>H</w:t>
            </w:r>
          </w:p>
        </w:tc>
        <w:tc>
          <w:tcPr>
            <w:tcW w:w="2563" w:type="pct"/>
            <w:gridSpan w:val="2"/>
          </w:tcPr>
          <w:p w:rsidR="00B9374F" w:rsidRPr="00931B61" w:rsidRDefault="00B9374F" w:rsidP="00F451DF">
            <w:pPr>
              <w:pStyle w:val="NoSpacing"/>
              <w:rPr>
                <w:b/>
              </w:rPr>
            </w:pPr>
            <w:r w:rsidRPr="00931B61">
              <w:rPr>
                <w:b/>
              </w:rPr>
              <w:t xml:space="preserve">Highlight </w:t>
            </w:r>
            <w:r>
              <w:rPr>
                <w:b/>
              </w:rPr>
              <w:t xml:space="preserve">or underline </w:t>
            </w:r>
            <w:r w:rsidRPr="00931B61">
              <w:rPr>
                <w:b/>
              </w:rPr>
              <w:t>important details</w:t>
            </w:r>
          </w:p>
        </w:tc>
        <w:tc>
          <w:tcPr>
            <w:tcW w:w="2011" w:type="pct"/>
          </w:tcPr>
          <w:p w:rsidR="00B9374F" w:rsidRPr="00056965" w:rsidRDefault="00B9374F" w:rsidP="00F451DF">
            <w:pPr>
              <w:pStyle w:val="NoSpacing"/>
              <w:rPr>
                <w:sz w:val="20"/>
                <w:szCs w:val="20"/>
              </w:rPr>
            </w:pPr>
            <w:r w:rsidRPr="00056965">
              <w:rPr>
                <w:sz w:val="20"/>
                <w:szCs w:val="20"/>
              </w:rPr>
              <w:t xml:space="preserve">Less is more. </w:t>
            </w:r>
          </w:p>
          <w:p w:rsidR="00B9374F" w:rsidRPr="00056965" w:rsidRDefault="00B9374F" w:rsidP="00F451DF">
            <w:pPr>
              <w:pStyle w:val="NoSpacing"/>
              <w:rPr>
                <w:sz w:val="20"/>
                <w:szCs w:val="20"/>
              </w:rPr>
            </w:pPr>
            <w:r w:rsidRPr="00056965">
              <w:rPr>
                <w:sz w:val="20"/>
                <w:szCs w:val="20"/>
              </w:rPr>
              <w:t>Avoid highlighting complete sentences.</w:t>
            </w:r>
          </w:p>
          <w:p w:rsidR="00B9374F" w:rsidRDefault="00B9374F" w:rsidP="00F451DF">
            <w:pPr>
              <w:pStyle w:val="NoSpacing"/>
            </w:pPr>
            <w:r w:rsidRPr="00056965">
              <w:rPr>
                <w:sz w:val="20"/>
                <w:szCs w:val="20"/>
              </w:rPr>
              <w:t>Too much highlighting makes nothing stand out.</w:t>
            </w:r>
            <w:r>
              <w:t xml:space="preserve"> </w:t>
            </w:r>
          </w:p>
        </w:tc>
      </w:tr>
    </w:tbl>
    <w:p w:rsidR="00B9374F" w:rsidRDefault="00B9374F" w:rsidP="00B9374F"/>
    <w:p w:rsidR="00B9374F" w:rsidRDefault="00B9374F" w:rsidP="00B9374F">
      <w:pPr>
        <w:rPr>
          <w:b/>
          <w:sz w:val="32"/>
          <w:szCs w:val="32"/>
        </w:rPr>
      </w:pPr>
    </w:p>
    <w:p w:rsidR="00B9374F" w:rsidRDefault="00B9374F" w:rsidP="00B9374F">
      <w:pPr>
        <w:jc w:val="center"/>
        <w:rPr>
          <w:b/>
          <w:sz w:val="32"/>
          <w:szCs w:val="32"/>
        </w:rPr>
      </w:pPr>
    </w:p>
    <w:p w:rsidR="00B9374F" w:rsidRDefault="00B9374F" w:rsidP="00B9374F">
      <w:pPr>
        <w:jc w:val="center"/>
        <w:rPr>
          <w:b/>
          <w:sz w:val="32"/>
          <w:szCs w:val="32"/>
        </w:rPr>
      </w:pPr>
    </w:p>
    <w:p w:rsidR="00B9374F" w:rsidRDefault="00B9374F" w:rsidP="00B9374F">
      <w:pPr>
        <w:jc w:val="center"/>
        <w:rPr>
          <w:b/>
          <w:sz w:val="32"/>
          <w:szCs w:val="32"/>
        </w:rPr>
      </w:pPr>
    </w:p>
    <w:p w:rsidR="00B9374F" w:rsidRDefault="00B9374F" w:rsidP="00B9374F">
      <w:pPr>
        <w:jc w:val="center"/>
        <w:rPr>
          <w:b/>
          <w:sz w:val="32"/>
          <w:szCs w:val="32"/>
        </w:rPr>
      </w:pPr>
    </w:p>
    <w:p w:rsidR="00B9374F" w:rsidRDefault="00B9374F" w:rsidP="00B9374F">
      <w:pPr>
        <w:jc w:val="center"/>
        <w:rPr>
          <w:b/>
          <w:sz w:val="32"/>
          <w:szCs w:val="32"/>
        </w:rPr>
      </w:pPr>
    </w:p>
    <w:p w:rsidR="002A43B1" w:rsidRDefault="002A43B1"/>
    <w:sectPr w:rsidR="002A43B1" w:rsidSect="001455BA">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B0" w:rsidRDefault="008A10B0" w:rsidP="00C53887">
      <w:pPr>
        <w:spacing w:after="0" w:line="240" w:lineRule="auto"/>
      </w:pPr>
      <w:r>
        <w:separator/>
      </w:r>
    </w:p>
  </w:endnote>
  <w:endnote w:type="continuationSeparator" w:id="0">
    <w:p w:rsidR="008A10B0" w:rsidRDefault="008A10B0" w:rsidP="00C5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D" w:rsidRDefault="00433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D" w:rsidRDefault="00433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D" w:rsidRDefault="00433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B0" w:rsidRDefault="008A10B0" w:rsidP="00C53887">
      <w:pPr>
        <w:spacing w:after="0" w:line="240" w:lineRule="auto"/>
      </w:pPr>
      <w:r>
        <w:separator/>
      </w:r>
    </w:p>
  </w:footnote>
  <w:footnote w:type="continuationSeparator" w:id="0">
    <w:p w:rsidR="008A10B0" w:rsidRDefault="008A10B0" w:rsidP="00C5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D" w:rsidRDefault="004335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38204" o:spid="_x0000_s1026" type="#_x0000_t75" style="position:absolute;margin-left:0;margin-top:0;width:612pt;height:11in;z-index:-251656192;mso-position-horizontal:center;mso-position-horizontal-relative:margin;mso-position-vertical:center;mso-position-vertical-relative:margin" o:allowincell="f">
          <v:imagedata r:id="rId1" o:title="For watermark-page-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D" w:rsidRDefault="004335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38205" o:spid="_x0000_s1027" type="#_x0000_t75" style="position:absolute;margin-left:0;margin-top:0;width:612pt;height:11in;z-index:-251655168;mso-position-horizontal:center;mso-position-horizontal-relative:margin;mso-position-vertical:center;mso-position-vertical-relative:margin" o:allowincell="f">
          <v:imagedata r:id="rId1" o:title="For watermark-page-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D" w:rsidRDefault="004335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38203" o:spid="_x0000_s1025" type="#_x0000_t75" style="position:absolute;margin-left:0;margin-top:0;width:612pt;height:11in;z-index:-251657216;mso-position-horizontal:center;mso-position-horizontal-relative:margin;mso-position-vertical:center;mso-position-vertical-relative:margin" o:allowincell="f">
          <v:imagedata r:id="rId1" o:title="For watermark-page-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A0E68"/>
    <w:multiLevelType w:val="hybridMultilevel"/>
    <w:tmpl w:val="D4DA3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4F"/>
    <w:rsid w:val="002A43B1"/>
    <w:rsid w:val="00433516"/>
    <w:rsid w:val="008128A9"/>
    <w:rsid w:val="00867BE4"/>
    <w:rsid w:val="008A10B0"/>
    <w:rsid w:val="00AC530C"/>
    <w:rsid w:val="00B9374F"/>
    <w:rsid w:val="00C5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3A62430-55D0-4620-A61D-9912C112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4F"/>
  </w:style>
  <w:style w:type="paragraph" w:styleId="Footer">
    <w:name w:val="footer"/>
    <w:basedOn w:val="Normal"/>
    <w:link w:val="FooterChar"/>
    <w:uiPriority w:val="99"/>
    <w:unhideWhenUsed/>
    <w:rsid w:val="00B9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4F"/>
  </w:style>
  <w:style w:type="paragraph" w:styleId="NoSpacing">
    <w:name w:val="No Spacing"/>
    <w:uiPriority w:val="1"/>
    <w:qFormat/>
    <w:rsid w:val="00B9374F"/>
    <w:pPr>
      <w:spacing w:after="0" w:line="240" w:lineRule="auto"/>
    </w:pPr>
  </w:style>
  <w:style w:type="table" w:styleId="TableGrid">
    <w:name w:val="Table Grid"/>
    <w:basedOn w:val="TableNormal"/>
    <w:uiPriority w:val="39"/>
    <w:rsid w:val="00B9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Francis</dc:creator>
  <cp:lastModifiedBy>Laura Harris</cp:lastModifiedBy>
  <cp:revision>2</cp:revision>
  <dcterms:created xsi:type="dcterms:W3CDTF">2015-06-22T04:24:00Z</dcterms:created>
  <dcterms:modified xsi:type="dcterms:W3CDTF">2015-06-22T04:24:00Z</dcterms:modified>
</cp:coreProperties>
</file>